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66E4E5" w14:textId="77777777" w:rsidR="00003923" w:rsidRPr="00D17CF9" w:rsidRDefault="00003923" w:rsidP="00D904C1">
      <w:pPr>
        <w:spacing w:line="360" w:lineRule="auto"/>
        <w:jc w:val="both"/>
        <w:rPr>
          <w:rFonts w:ascii="Arial" w:hAnsi="Arial" w:cs="Arial"/>
          <w:color w:val="222222"/>
          <w:sz w:val="22"/>
          <w:szCs w:val="22"/>
          <w:lang w:val="en-GB"/>
        </w:rPr>
      </w:pPr>
    </w:p>
    <w:p w14:paraId="3C6800D4" w14:textId="77777777" w:rsidR="00003923" w:rsidRPr="00D17CF9" w:rsidRDefault="00003923" w:rsidP="00D904C1">
      <w:pPr>
        <w:spacing w:line="360" w:lineRule="auto"/>
        <w:jc w:val="both"/>
        <w:rPr>
          <w:rFonts w:ascii="Arial" w:hAnsi="Arial" w:cs="Arial"/>
          <w:color w:val="222222"/>
          <w:sz w:val="22"/>
          <w:szCs w:val="22"/>
          <w:lang w:val="en-GB"/>
        </w:rPr>
      </w:pPr>
    </w:p>
    <w:p w14:paraId="7CF4A479" w14:textId="77777777" w:rsidR="00003923" w:rsidRPr="00D17CF9" w:rsidRDefault="00003923" w:rsidP="00D904C1">
      <w:pPr>
        <w:spacing w:line="360" w:lineRule="auto"/>
        <w:jc w:val="both"/>
        <w:rPr>
          <w:rFonts w:ascii="Arial" w:hAnsi="Arial" w:cs="Arial"/>
          <w:color w:val="222222"/>
          <w:sz w:val="22"/>
          <w:szCs w:val="22"/>
          <w:lang w:val="en-GB"/>
        </w:rPr>
      </w:pPr>
    </w:p>
    <w:p w14:paraId="50569F88" w14:textId="77777777" w:rsidR="00003923" w:rsidRPr="00D17CF9" w:rsidRDefault="00003923" w:rsidP="00D904C1">
      <w:pPr>
        <w:spacing w:line="360" w:lineRule="auto"/>
        <w:jc w:val="both"/>
        <w:rPr>
          <w:rFonts w:ascii="Arial" w:hAnsi="Arial" w:cs="Arial"/>
          <w:color w:val="222222"/>
          <w:sz w:val="22"/>
          <w:szCs w:val="22"/>
          <w:lang w:val="en-GB"/>
        </w:rPr>
      </w:pPr>
    </w:p>
    <w:p w14:paraId="2632FBB3" w14:textId="77777777" w:rsidR="00003923" w:rsidRPr="00D17CF9" w:rsidRDefault="00003923" w:rsidP="00D904C1">
      <w:pPr>
        <w:spacing w:line="360" w:lineRule="auto"/>
        <w:jc w:val="both"/>
        <w:rPr>
          <w:rFonts w:ascii="Arial" w:hAnsi="Arial" w:cs="Arial"/>
          <w:color w:val="222222"/>
          <w:sz w:val="22"/>
          <w:szCs w:val="22"/>
          <w:lang w:val="en-GB"/>
        </w:rPr>
      </w:pPr>
    </w:p>
    <w:p w14:paraId="0CEECCF6" w14:textId="77777777" w:rsidR="00003923" w:rsidRPr="00D17CF9" w:rsidRDefault="00003923" w:rsidP="00D904C1">
      <w:pPr>
        <w:spacing w:line="360" w:lineRule="auto"/>
        <w:jc w:val="both"/>
        <w:rPr>
          <w:rFonts w:ascii="Arial" w:hAnsi="Arial" w:cs="Arial"/>
          <w:color w:val="222222"/>
          <w:sz w:val="22"/>
          <w:szCs w:val="22"/>
          <w:lang w:val="en-GB"/>
        </w:rPr>
      </w:pPr>
    </w:p>
    <w:p w14:paraId="40399F0E" w14:textId="77777777" w:rsidR="00003923" w:rsidRPr="00D17CF9" w:rsidRDefault="00003923" w:rsidP="00D904C1">
      <w:pPr>
        <w:spacing w:line="360" w:lineRule="auto"/>
        <w:jc w:val="both"/>
        <w:rPr>
          <w:rFonts w:ascii="Arial" w:hAnsi="Arial" w:cs="Arial"/>
          <w:color w:val="222222"/>
          <w:sz w:val="22"/>
          <w:szCs w:val="22"/>
          <w:lang w:val="en-GB"/>
        </w:rPr>
      </w:pPr>
    </w:p>
    <w:p w14:paraId="152C3744" w14:textId="5C50E3E6" w:rsidR="00003923" w:rsidRPr="00D17CF9" w:rsidRDefault="00003923" w:rsidP="00D904C1">
      <w:pPr>
        <w:spacing w:line="360" w:lineRule="auto"/>
        <w:jc w:val="both"/>
        <w:rPr>
          <w:rFonts w:ascii="Arial" w:hAnsi="Arial" w:cs="Arial"/>
          <w:color w:val="222222"/>
          <w:sz w:val="22"/>
          <w:szCs w:val="22"/>
          <w:lang w:val="en-GB"/>
        </w:rPr>
      </w:pPr>
      <w:r w:rsidRPr="00D17CF9">
        <w:rPr>
          <w:rFonts w:ascii="Arial" w:hAnsi="Arial" w:cs="Arial"/>
          <w:noProof/>
          <w:sz w:val="22"/>
          <w:szCs w:val="22"/>
          <w:lang w:val="en-GB" w:eastAsia="en-GB"/>
        </w:rPr>
        <w:drawing>
          <wp:inline distT="0" distB="0" distL="0" distR="0" wp14:anchorId="2643D13D" wp14:editId="12BECD1B">
            <wp:extent cx="4321175" cy="2836863"/>
            <wp:effectExtent l="57150" t="57150" r="117475" b="116205"/>
            <wp:docPr id="10" name="Content Placeholder 9" descr="U:\11. WWW\online\public_html\images\klasa.JPG"/>
            <wp:cNvGraphicFramePr>
              <a:graphicFrameLocks xmlns:a="http://schemas.openxmlformats.org/drawingml/2006/main" noGrp="1"/>
            </wp:cNvGraphicFramePr>
            <a:graphic xmlns:a="http://schemas.openxmlformats.org/drawingml/2006/main">
              <a:graphicData uri="http://schemas.openxmlformats.org/drawingml/2006/picture">
                <pic:pic xmlns:pic="http://schemas.openxmlformats.org/drawingml/2006/picture">
                  <pic:nvPicPr>
                    <pic:cNvPr id="10" name="Content Placeholder 9" descr="U:\11. WWW\online\public_html\images\klasa.JPG"/>
                    <pic:cNvPicPr>
                      <a:picLocks noGrp="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21175" cy="2836863"/>
                    </a:xfrm>
                    <a:prstGeom prst="rect">
                      <a:avLst/>
                    </a:prstGeom>
                    <a:noFill/>
                    <a:ln w="3175" cap="sq">
                      <a:solidFill>
                        <a:srgbClr val="000000"/>
                      </a:solidFill>
                      <a:prstDash val="solid"/>
                      <a:miter lim="800000"/>
                    </a:ln>
                    <a:effectLst>
                      <a:outerShdw blurRad="50800" dist="38100" dir="2700000" algn="tl" rotWithShape="0">
                        <a:srgbClr val="000000">
                          <a:alpha val="43000"/>
                        </a:srgbClr>
                      </a:outerShdw>
                    </a:effectLst>
                    <a:extLst>
                      <a:ext uri="{909E8E84-426E-40dd-AFC4-6F175D3DCCD1}">
                        <a14:hiddenFill xmlns:arto="http://schemas.microsoft.com/office/word/2006/arto"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a:solidFill>
                            <a:schemeClr val="accent1"/>
                          </a:solidFill>
                        </a14:hiddenFill>
                      </a:ext>
                    </a:extLst>
                  </pic:spPr>
                </pic:pic>
              </a:graphicData>
            </a:graphic>
          </wp:inline>
        </w:drawing>
      </w:r>
    </w:p>
    <w:p w14:paraId="3CCF4446" w14:textId="77777777" w:rsidR="00003923" w:rsidRPr="00D17CF9" w:rsidRDefault="00003923" w:rsidP="00D904C1">
      <w:pPr>
        <w:spacing w:line="360" w:lineRule="auto"/>
        <w:jc w:val="both"/>
        <w:rPr>
          <w:rFonts w:ascii="Arial" w:hAnsi="Arial" w:cs="Arial"/>
          <w:b/>
          <w:sz w:val="22"/>
          <w:szCs w:val="22"/>
          <w:lang w:val="en-GB"/>
        </w:rPr>
      </w:pPr>
    </w:p>
    <w:p w14:paraId="4F9DDE2E" w14:textId="77777777" w:rsidR="00E47E17" w:rsidRPr="00D17CF9" w:rsidRDefault="00E47E17" w:rsidP="00D31187">
      <w:pPr>
        <w:spacing w:line="360" w:lineRule="auto"/>
        <w:jc w:val="center"/>
        <w:rPr>
          <w:rFonts w:ascii="Arial" w:hAnsi="Arial" w:cs="Arial"/>
          <w:b/>
          <w:sz w:val="22"/>
          <w:szCs w:val="22"/>
          <w:lang w:val="en-GB"/>
        </w:rPr>
      </w:pPr>
      <w:r w:rsidRPr="00D17CF9">
        <w:rPr>
          <w:rFonts w:ascii="Arial" w:hAnsi="Arial" w:cs="Arial"/>
          <w:b/>
          <w:sz w:val="22"/>
          <w:szCs w:val="22"/>
          <w:lang w:val="en-GB"/>
        </w:rPr>
        <w:t>HUMAN RIGHTS REVIEW PANEL</w:t>
      </w:r>
    </w:p>
    <w:p w14:paraId="76616166" w14:textId="77777777" w:rsidR="00E47E17" w:rsidRPr="00D17CF9" w:rsidRDefault="00E47E17" w:rsidP="00D31187">
      <w:pPr>
        <w:spacing w:line="360" w:lineRule="auto"/>
        <w:jc w:val="center"/>
        <w:rPr>
          <w:rFonts w:ascii="Arial" w:hAnsi="Arial" w:cs="Arial"/>
          <w:b/>
          <w:sz w:val="22"/>
          <w:szCs w:val="22"/>
          <w:lang w:val="en-GB"/>
        </w:rPr>
      </w:pPr>
    </w:p>
    <w:p w14:paraId="0508388D" w14:textId="7131D5B7" w:rsidR="00003923" w:rsidRPr="00D17CF9" w:rsidRDefault="00D71C8A" w:rsidP="00D31187">
      <w:pPr>
        <w:spacing w:line="360" w:lineRule="auto"/>
        <w:jc w:val="center"/>
        <w:rPr>
          <w:rFonts w:ascii="Arial" w:hAnsi="Arial" w:cs="Arial"/>
          <w:b/>
          <w:sz w:val="22"/>
          <w:szCs w:val="22"/>
          <w:lang w:val="en-GB"/>
        </w:rPr>
      </w:pPr>
      <w:r w:rsidRPr="00D17CF9">
        <w:rPr>
          <w:rFonts w:ascii="Arial" w:hAnsi="Arial" w:cs="Arial"/>
          <w:b/>
          <w:sz w:val="22"/>
          <w:szCs w:val="22"/>
          <w:lang w:val="en-GB"/>
        </w:rPr>
        <w:t>CASE-LAW</w:t>
      </w:r>
      <w:r w:rsidR="00E47E17" w:rsidRPr="00D17CF9">
        <w:rPr>
          <w:rFonts w:ascii="Arial" w:hAnsi="Arial" w:cs="Arial"/>
          <w:b/>
          <w:sz w:val="22"/>
          <w:szCs w:val="22"/>
          <w:lang w:val="en-GB"/>
        </w:rPr>
        <w:t xml:space="preserve"> NOTE ON</w:t>
      </w:r>
    </w:p>
    <w:p w14:paraId="5F51BF39" w14:textId="1FE0B841" w:rsidR="00AC5B01" w:rsidRPr="00D17CF9" w:rsidRDefault="002234EB" w:rsidP="00D31187">
      <w:pPr>
        <w:spacing w:line="360" w:lineRule="auto"/>
        <w:jc w:val="center"/>
        <w:rPr>
          <w:rFonts w:ascii="Arial" w:hAnsi="Arial" w:cs="Arial"/>
          <w:b/>
          <w:sz w:val="22"/>
          <w:szCs w:val="22"/>
          <w:lang w:val="en-GB"/>
        </w:rPr>
      </w:pPr>
      <w:r w:rsidRPr="00D17CF9">
        <w:rPr>
          <w:rFonts w:ascii="Arial" w:hAnsi="Arial" w:cs="Arial"/>
          <w:b/>
          <w:sz w:val="22"/>
          <w:szCs w:val="22"/>
          <w:lang w:val="en-GB"/>
        </w:rPr>
        <w:t>THE PROTECTION OF SUBSTANTIVE HUMAN RIGHTS</w:t>
      </w:r>
    </w:p>
    <w:p w14:paraId="67106438" w14:textId="5E21D6C1" w:rsidR="00364A37" w:rsidRPr="00D17CF9" w:rsidRDefault="00AC5B01" w:rsidP="00D31187">
      <w:pPr>
        <w:spacing w:line="360" w:lineRule="auto"/>
        <w:jc w:val="center"/>
        <w:rPr>
          <w:rFonts w:ascii="Arial" w:hAnsi="Arial" w:cs="Arial"/>
          <w:b/>
          <w:sz w:val="22"/>
          <w:szCs w:val="22"/>
          <w:lang w:val="en-GB"/>
        </w:rPr>
      </w:pPr>
      <w:r w:rsidRPr="00D17CF9">
        <w:rPr>
          <w:rFonts w:ascii="Arial" w:hAnsi="Arial" w:cs="Arial"/>
          <w:b/>
          <w:sz w:val="22"/>
          <w:szCs w:val="22"/>
          <w:lang w:val="en-GB"/>
        </w:rPr>
        <w:t>BY THE HUMAN RIGHTS REVIEW PANEL</w:t>
      </w:r>
    </w:p>
    <w:p w14:paraId="2E5431D7" w14:textId="6940CC95" w:rsidR="00E47E17" w:rsidRPr="00D17CF9" w:rsidRDefault="00E47E17" w:rsidP="00D904C1">
      <w:pPr>
        <w:spacing w:line="360" w:lineRule="auto"/>
        <w:jc w:val="both"/>
        <w:rPr>
          <w:rFonts w:ascii="Arial" w:hAnsi="Arial" w:cs="Arial"/>
          <w:b/>
          <w:sz w:val="22"/>
          <w:szCs w:val="22"/>
          <w:lang w:val="en-GB"/>
        </w:rPr>
      </w:pPr>
    </w:p>
    <w:p w14:paraId="6F08CB50" w14:textId="77777777" w:rsidR="00E47E17" w:rsidRPr="00D17CF9" w:rsidRDefault="00E47E17" w:rsidP="00D904C1">
      <w:pPr>
        <w:spacing w:line="360" w:lineRule="auto"/>
        <w:jc w:val="both"/>
        <w:rPr>
          <w:rFonts w:ascii="Arial" w:hAnsi="Arial" w:cs="Arial"/>
          <w:b/>
          <w:sz w:val="22"/>
          <w:szCs w:val="22"/>
          <w:lang w:val="en-GB"/>
        </w:rPr>
      </w:pPr>
    </w:p>
    <w:p w14:paraId="3F6C9D78" w14:textId="77777777" w:rsidR="00E47E17" w:rsidRPr="00D17CF9" w:rsidRDefault="00E47E17" w:rsidP="00D904C1">
      <w:pPr>
        <w:spacing w:line="360" w:lineRule="auto"/>
        <w:jc w:val="both"/>
        <w:rPr>
          <w:rFonts w:ascii="Arial" w:hAnsi="Arial" w:cs="Arial"/>
          <w:b/>
          <w:sz w:val="22"/>
          <w:szCs w:val="22"/>
          <w:lang w:val="en-GB"/>
        </w:rPr>
      </w:pPr>
    </w:p>
    <w:p w14:paraId="44E1E387" w14:textId="77777777" w:rsidR="00E47E17" w:rsidRPr="00D17CF9" w:rsidRDefault="00E47E17" w:rsidP="00D904C1">
      <w:pPr>
        <w:spacing w:line="360" w:lineRule="auto"/>
        <w:jc w:val="both"/>
        <w:rPr>
          <w:rFonts w:ascii="Arial" w:hAnsi="Arial" w:cs="Arial"/>
          <w:sz w:val="22"/>
          <w:szCs w:val="22"/>
          <w:lang w:val="en-GB"/>
        </w:rPr>
      </w:pPr>
      <w:r w:rsidRPr="00D17CF9">
        <w:rPr>
          <w:rFonts w:ascii="Arial" w:hAnsi="Arial" w:cs="Arial"/>
          <w:sz w:val="22"/>
          <w:szCs w:val="22"/>
          <w:lang w:val="en-GB"/>
        </w:rPr>
        <w:br w:type="page"/>
      </w:r>
    </w:p>
    <w:sdt>
      <w:sdtPr>
        <w:rPr>
          <w:rFonts w:ascii="Arial" w:eastAsiaTheme="minorEastAsia" w:hAnsi="Arial" w:cs="Arial"/>
          <w:b/>
          <w:bCs/>
        </w:rPr>
        <w:id w:val="-1544751594"/>
        <w:docPartObj>
          <w:docPartGallery w:val="Table of Contents"/>
          <w:docPartUnique/>
        </w:docPartObj>
      </w:sdtPr>
      <w:sdtEndPr>
        <w:rPr>
          <w:rFonts w:eastAsia="Times New Roman"/>
          <w:b w:val="0"/>
          <w:bCs w:val="0"/>
          <w:noProof/>
          <w:sz w:val="22"/>
          <w:szCs w:val="22"/>
          <w:lang w:val="en-GB"/>
        </w:rPr>
      </w:sdtEndPr>
      <w:sdtContent>
        <w:p w14:paraId="27AFE380" w14:textId="2DEABF17" w:rsidR="00CF7E39" w:rsidRPr="00D17CF9" w:rsidRDefault="00CF7E39" w:rsidP="008732EF">
          <w:pPr>
            <w:spacing w:after="240"/>
            <w:rPr>
              <w:rFonts w:ascii="Arial" w:hAnsi="Arial" w:cs="Arial"/>
            </w:rPr>
          </w:pPr>
          <w:r w:rsidRPr="00D17CF9">
            <w:rPr>
              <w:rFonts w:ascii="Arial" w:hAnsi="Arial" w:cs="Arial"/>
            </w:rPr>
            <w:t>Table of Contents</w:t>
          </w:r>
        </w:p>
        <w:p w14:paraId="5CB80ABD" w14:textId="315BEDE0" w:rsidR="00E90F29" w:rsidRDefault="00CF7E39">
          <w:pPr>
            <w:pStyle w:val="TOC1"/>
            <w:rPr>
              <w:rFonts w:asciiTheme="minorHAnsi" w:eastAsiaTheme="minorEastAsia" w:hAnsiTheme="minorHAnsi" w:cstheme="minorBidi"/>
              <w:noProof/>
            </w:rPr>
          </w:pPr>
          <w:r w:rsidRPr="00D17CF9">
            <w:rPr>
              <w:rFonts w:ascii="Arial" w:hAnsi="Arial" w:cs="Arial"/>
              <w:sz w:val="22"/>
              <w:szCs w:val="22"/>
              <w:lang w:val="en-GB"/>
            </w:rPr>
            <w:fldChar w:fldCharType="begin"/>
          </w:r>
          <w:r w:rsidRPr="00D17CF9">
            <w:rPr>
              <w:rFonts w:ascii="Arial" w:hAnsi="Arial" w:cs="Arial"/>
              <w:sz w:val="22"/>
              <w:szCs w:val="22"/>
              <w:lang w:val="en-GB"/>
            </w:rPr>
            <w:instrText xml:space="preserve"> TOC \o "1-3" \h \z \u </w:instrText>
          </w:r>
          <w:r w:rsidRPr="00D17CF9">
            <w:rPr>
              <w:rFonts w:ascii="Arial" w:hAnsi="Arial" w:cs="Arial"/>
              <w:sz w:val="22"/>
              <w:szCs w:val="22"/>
              <w:lang w:val="en-GB"/>
            </w:rPr>
            <w:fldChar w:fldCharType="separate"/>
          </w:r>
          <w:hyperlink w:anchor="_Toc513713945" w:history="1">
            <w:r w:rsidR="00E90F29" w:rsidRPr="00517BB4">
              <w:rPr>
                <w:rStyle w:val="Hyperlink"/>
                <w:noProof/>
              </w:rPr>
              <w:t>1.</w:t>
            </w:r>
            <w:r w:rsidR="00E90F29">
              <w:rPr>
                <w:rFonts w:asciiTheme="minorHAnsi" w:eastAsiaTheme="minorEastAsia" w:hAnsiTheme="minorHAnsi" w:cstheme="minorBidi"/>
                <w:noProof/>
              </w:rPr>
              <w:tab/>
            </w:r>
            <w:r w:rsidR="00E90F29" w:rsidRPr="00517BB4">
              <w:rPr>
                <w:rStyle w:val="Hyperlink"/>
                <w:noProof/>
              </w:rPr>
              <w:t>Mandate of the Panel and Protected Fundamental Rights – General considerations</w:t>
            </w:r>
            <w:r w:rsidR="00E90F29">
              <w:rPr>
                <w:noProof/>
                <w:webHidden/>
              </w:rPr>
              <w:tab/>
            </w:r>
            <w:r w:rsidR="00E90F29">
              <w:rPr>
                <w:noProof/>
                <w:webHidden/>
              </w:rPr>
              <w:fldChar w:fldCharType="begin"/>
            </w:r>
            <w:r w:rsidR="00E90F29">
              <w:rPr>
                <w:noProof/>
                <w:webHidden/>
              </w:rPr>
              <w:instrText xml:space="preserve"> PAGEREF _Toc513713945 \h </w:instrText>
            </w:r>
            <w:r w:rsidR="00E90F29">
              <w:rPr>
                <w:noProof/>
                <w:webHidden/>
              </w:rPr>
            </w:r>
            <w:r w:rsidR="00E90F29">
              <w:rPr>
                <w:noProof/>
                <w:webHidden/>
              </w:rPr>
              <w:fldChar w:fldCharType="separate"/>
            </w:r>
            <w:r w:rsidR="00E90F29">
              <w:rPr>
                <w:noProof/>
                <w:webHidden/>
              </w:rPr>
              <w:t>4</w:t>
            </w:r>
            <w:r w:rsidR="00E90F29">
              <w:rPr>
                <w:noProof/>
                <w:webHidden/>
              </w:rPr>
              <w:fldChar w:fldCharType="end"/>
            </w:r>
          </w:hyperlink>
        </w:p>
        <w:p w14:paraId="1B80DA44" w14:textId="03638084" w:rsidR="00E90F29" w:rsidRDefault="00E90F29">
          <w:pPr>
            <w:pStyle w:val="TOC1"/>
            <w:rPr>
              <w:rFonts w:asciiTheme="minorHAnsi" w:eastAsiaTheme="minorEastAsia" w:hAnsiTheme="minorHAnsi" w:cstheme="minorBidi"/>
              <w:noProof/>
            </w:rPr>
          </w:pPr>
          <w:hyperlink w:anchor="_Toc513713946" w:history="1">
            <w:r w:rsidRPr="00517BB4">
              <w:rPr>
                <w:rStyle w:val="Hyperlink"/>
                <w:noProof/>
              </w:rPr>
              <w:t>2.</w:t>
            </w:r>
            <w:r>
              <w:rPr>
                <w:rFonts w:asciiTheme="minorHAnsi" w:eastAsiaTheme="minorEastAsia" w:hAnsiTheme="minorHAnsi" w:cstheme="minorBidi"/>
                <w:noProof/>
              </w:rPr>
              <w:tab/>
            </w:r>
            <w:r w:rsidRPr="00517BB4">
              <w:rPr>
                <w:rStyle w:val="Hyperlink"/>
                <w:noProof/>
              </w:rPr>
              <w:t>Applicable Legal Norms and Relevant Standards</w:t>
            </w:r>
            <w:r>
              <w:rPr>
                <w:noProof/>
                <w:webHidden/>
              </w:rPr>
              <w:tab/>
            </w:r>
            <w:r>
              <w:rPr>
                <w:noProof/>
                <w:webHidden/>
              </w:rPr>
              <w:fldChar w:fldCharType="begin"/>
            </w:r>
            <w:r>
              <w:rPr>
                <w:noProof/>
                <w:webHidden/>
              </w:rPr>
              <w:instrText xml:space="preserve"> PAGEREF _Toc513713946 \h </w:instrText>
            </w:r>
            <w:r>
              <w:rPr>
                <w:noProof/>
                <w:webHidden/>
              </w:rPr>
            </w:r>
            <w:r>
              <w:rPr>
                <w:noProof/>
                <w:webHidden/>
              </w:rPr>
              <w:fldChar w:fldCharType="separate"/>
            </w:r>
            <w:r>
              <w:rPr>
                <w:noProof/>
                <w:webHidden/>
              </w:rPr>
              <w:t>5</w:t>
            </w:r>
            <w:r>
              <w:rPr>
                <w:noProof/>
                <w:webHidden/>
              </w:rPr>
              <w:fldChar w:fldCharType="end"/>
            </w:r>
          </w:hyperlink>
        </w:p>
        <w:p w14:paraId="394221DE" w14:textId="35382345" w:rsidR="00E90F29" w:rsidRDefault="00E90F29">
          <w:pPr>
            <w:pStyle w:val="TOC2"/>
            <w:tabs>
              <w:tab w:val="right" w:leader="dot" w:pos="8290"/>
            </w:tabs>
            <w:rPr>
              <w:rFonts w:asciiTheme="minorHAnsi" w:eastAsiaTheme="minorEastAsia" w:hAnsiTheme="minorHAnsi" w:cstheme="minorBidi"/>
              <w:noProof/>
            </w:rPr>
          </w:pPr>
          <w:hyperlink w:anchor="_Toc513713947" w:history="1">
            <w:r w:rsidRPr="00517BB4">
              <w:rPr>
                <w:rStyle w:val="Hyperlink"/>
                <w:noProof/>
              </w:rPr>
              <w:t>2.1 Applicable norms</w:t>
            </w:r>
            <w:r>
              <w:rPr>
                <w:noProof/>
                <w:webHidden/>
              </w:rPr>
              <w:tab/>
            </w:r>
            <w:r>
              <w:rPr>
                <w:noProof/>
                <w:webHidden/>
              </w:rPr>
              <w:fldChar w:fldCharType="begin"/>
            </w:r>
            <w:r>
              <w:rPr>
                <w:noProof/>
                <w:webHidden/>
              </w:rPr>
              <w:instrText xml:space="preserve"> PAGEREF _Toc513713947 \h </w:instrText>
            </w:r>
            <w:r>
              <w:rPr>
                <w:noProof/>
                <w:webHidden/>
              </w:rPr>
            </w:r>
            <w:r>
              <w:rPr>
                <w:noProof/>
                <w:webHidden/>
              </w:rPr>
              <w:fldChar w:fldCharType="separate"/>
            </w:r>
            <w:r>
              <w:rPr>
                <w:noProof/>
                <w:webHidden/>
              </w:rPr>
              <w:t>5</w:t>
            </w:r>
            <w:r>
              <w:rPr>
                <w:noProof/>
                <w:webHidden/>
              </w:rPr>
              <w:fldChar w:fldCharType="end"/>
            </w:r>
          </w:hyperlink>
          <w:bookmarkStart w:id="0" w:name="_GoBack"/>
          <w:bookmarkEnd w:id="0"/>
        </w:p>
        <w:p w14:paraId="391A2035" w14:textId="7294A184" w:rsidR="00E90F29" w:rsidRDefault="00E90F29">
          <w:pPr>
            <w:pStyle w:val="TOC2"/>
            <w:tabs>
              <w:tab w:val="right" w:leader="dot" w:pos="8290"/>
            </w:tabs>
            <w:rPr>
              <w:rFonts w:asciiTheme="minorHAnsi" w:eastAsiaTheme="minorEastAsia" w:hAnsiTheme="minorHAnsi" w:cstheme="minorBidi"/>
              <w:noProof/>
            </w:rPr>
          </w:pPr>
          <w:hyperlink w:anchor="_Toc513713948" w:history="1">
            <w:r w:rsidRPr="00517BB4">
              <w:rPr>
                <w:rStyle w:val="Hyperlink"/>
                <w:noProof/>
              </w:rPr>
              <w:t>2.2 The Panel’s heavy focus on the ECHR</w:t>
            </w:r>
            <w:r>
              <w:rPr>
                <w:noProof/>
                <w:webHidden/>
              </w:rPr>
              <w:tab/>
            </w:r>
            <w:r>
              <w:rPr>
                <w:noProof/>
                <w:webHidden/>
              </w:rPr>
              <w:fldChar w:fldCharType="begin"/>
            </w:r>
            <w:r>
              <w:rPr>
                <w:noProof/>
                <w:webHidden/>
              </w:rPr>
              <w:instrText xml:space="preserve"> PAGEREF _Toc513713948 \h </w:instrText>
            </w:r>
            <w:r>
              <w:rPr>
                <w:noProof/>
                <w:webHidden/>
              </w:rPr>
            </w:r>
            <w:r>
              <w:rPr>
                <w:noProof/>
                <w:webHidden/>
              </w:rPr>
              <w:fldChar w:fldCharType="separate"/>
            </w:r>
            <w:r>
              <w:rPr>
                <w:noProof/>
                <w:webHidden/>
              </w:rPr>
              <w:t>6</w:t>
            </w:r>
            <w:r>
              <w:rPr>
                <w:noProof/>
                <w:webHidden/>
              </w:rPr>
              <w:fldChar w:fldCharType="end"/>
            </w:r>
          </w:hyperlink>
        </w:p>
        <w:p w14:paraId="3A5273EF" w14:textId="11954D76" w:rsidR="00E90F29" w:rsidRDefault="00E90F29">
          <w:pPr>
            <w:pStyle w:val="TOC2"/>
            <w:tabs>
              <w:tab w:val="right" w:leader="dot" w:pos="8290"/>
            </w:tabs>
            <w:rPr>
              <w:rFonts w:asciiTheme="minorHAnsi" w:eastAsiaTheme="minorEastAsia" w:hAnsiTheme="minorHAnsi" w:cstheme="minorBidi"/>
              <w:noProof/>
            </w:rPr>
          </w:pPr>
          <w:hyperlink w:anchor="_Toc513713949" w:history="1">
            <w:r w:rsidRPr="00517BB4">
              <w:rPr>
                <w:rStyle w:val="Hyperlink"/>
                <w:noProof/>
              </w:rPr>
              <w:t>2.3 Application of ECHR standards with a twist? Specificity of a rule of law mission compared to a state</w:t>
            </w:r>
            <w:r>
              <w:rPr>
                <w:noProof/>
                <w:webHidden/>
              </w:rPr>
              <w:tab/>
            </w:r>
            <w:r>
              <w:rPr>
                <w:noProof/>
                <w:webHidden/>
              </w:rPr>
              <w:fldChar w:fldCharType="begin"/>
            </w:r>
            <w:r>
              <w:rPr>
                <w:noProof/>
                <w:webHidden/>
              </w:rPr>
              <w:instrText xml:space="preserve"> PAGEREF _Toc513713949 \h </w:instrText>
            </w:r>
            <w:r>
              <w:rPr>
                <w:noProof/>
                <w:webHidden/>
              </w:rPr>
            </w:r>
            <w:r>
              <w:rPr>
                <w:noProof/>
                <w:webHidden/>
              </w:rPr>
              <w:fldChar w:fldCharType="separate"/>
            </w:r>
            <w:r>
              <w:rPr>
                <w:noProof/>
                <w:webHidden/>
              </w:rPr>
              <w:t>6</w:t>
            </w:r>
            <w:r>
              <w:rPr>
                <w:noProof/>
                <w:webHidden/>
              </w:rPr>
              <w:fldChar w:fldCharType="end"/>
            </w:r>
          </w:hyperlink>
        </w:p>
        <w:p w14:paraId="08367A22" w14:textId="49B47E7E" w:rsidR="00E90F29" w:rsidRDefault="00E90F29">
          <w:pPr>
            <w:pStyle w:val="TOC1"/>
            <w:rPr>
              <w:rFonts w:asciiTheme="minorHAnsi" w:eastAsiaTheme="minorEastAsia" w:hAnsiTheme="minorHAnsi" w:cstheme="minorBidi"/>
              <w:noProof/>
            </w:rPr>
          </w:pPr>
          <w:hyperlink w:anchor="_Toc513713950" w:history="1">
            <w:r w:rsidRPr="00517BB4">
              <w:rPr>
                <w:rStyle w:val="Hyperlink"/>
                <w:noProof/>
              </w:rPr>
              <w:t>3.</w:t>
            </w:r>
            <w:r>
              <w:rPr>
                <w:rFonts w:asciiTheme="minorHAnsi" w:eastAsiaTheme="minorEastAsia" w:hAnsiTheme="minorHAnsi" w:cstheme="minorBidi"/>
                <w:noProof/>
              </w:rPr>
              <w:tab/>
            </w:r>
            <w:r w:rsidRPr="00517BB4">
              <w:rPr>
                <w:rStyle w:val="Hyperlink"/>
                <w:noProof/>
              </w:rPr>
              <w:t>Substantive protected rights</w:t>
            </w:r>
            <w:r>
              <w:rPr>
                <w:noProof/>
                <w:webHidden/>
              </w:rPr>
              <w:tab/>
            </w:r>
            <w:r>
              <w:rPr>
                <w:noProof/>
                <w:webHidden/>
              </w:rPr>
              <w:fldChar w:fldCharType="begin"/>
            </w:r>
            <w:r>
              <w:rPr>
                <w:noProof/>
                <w:webHidden/>
              </w:rPr>
              <w:instrText xml:space="preserve"> PAGEREF _Toc513713950 \h </w:instrText>
            </w:r>
            <w:r>
              <w:rPr>
                <w:noProof/>
                <w:webHidden/>
              </w:rPr>
            </w:r>
            <w:r>
              <w:rPr>
                <w:noProof/>
                <w:webHidden/>
              </w:rPr>
              <w:fldChar w:fldCharType="separate"/>
            </w:r>
            <w:r>
              <w:rPr>
                <w:noProof/>
                <w:webHidden/>
              </w:rPr>
              <w:t>10</w:t>
            </w:r>
            <w:r>
              <w:rPr>
                <w:noProof/>
                <w:webHidden/>
              </w:rPr>
              <w:fldChar w:fldCharType="end"/>
            </w:r>
          </w:hyperlink>
        </w:p>
        <w:p w14:paraId="2CF829D1" w14:textId="2FD019D9" w:rsidR="00E90F29" w:rsidRDefault="00E90F29">
          <w:pPr>
            <w:pStyle w:val="TOC2"/>
            <w:tabs>
              <w:tab w:val="right" w:leader="dot" w:pos="8290"/>
            </w:tabs>
            <w:rPr>
              <w:rFonts w:asciiTheme="minorHAnsi" w:eastAsiaTheme="minorEastAsia" w:hAnsiTheme="minorHAnsi" w:cstheme="minorBidi"/>
              <w:noProof/>
            </w:rPr>
          </w:pPr>
          <w:hyperlink w:anchor="_Toc513713951" w:history="1">
            <w:r w:rsidRPr="00517BB4">
              <w:rPr>
                <w:rStyle w:val="Hyperlink"/>
                <w:noProof/>
              </w:rPr>
              <w:t>3.1 General considerations</w:t>
            </w:r>
            <w:r>
              <w:rPr>
                <w:noProof/>
                <w:webHidden/>
              </w:rPr>
              <w:tab/>
            </w:r>
            <w:r>
              <w:rPr>
                <w:noProof/>
                <w:webHidden/>
              </w:rPr>
              <w:fldChar w:fldCharType="begin"/>
            </w:r>
            <w:r>
              <w:rPr>
                <w:noProof/>
                <w:webHidden/>
              </w:rPr>
              <w:instrText xml:space="preserve"> PAGEREF _Toc513713951 \h </w:instrText>
            </w:r>
            <w:r>
              <w:rPr>
                <w:noProof/>
                <w:webHidden/>
              </w:rPr>
            </w:r>
            <w:r>
              <w:rPr>
                <w:noProof/>
                <w:webHidden/>
              </w:rPr>
              <w:fldChar w:fldCharType="separate"/>
            </w:r>
            <w:r>
              <w:rPr>
                <w:noProof/>
                <w:webHidden/>
              </w:rPr>
              <w:t>10</w:t>
            </w:r>
            <w:r>
              <w:rPr>
                <w:noProof/>
                <w:webHidden/>
              </w:rPr>
              <w:fldChar w:fldCharType="end"/>
            </w:r>
          </w:hyperlink>
        </w:p>
        <w:p w14:paraId="47690AFF" w14:textId="75D69BE1" w:rsidR="00E90F29" w:rsidRDefault="00E90F29">
          <w:pPr>
            <w:pStyle w:val="TOC2"/>
            <w:tabs>
              <w:tab w:val="right" w:leader="dot" w:pos="8290"/>
            </w:tabs>
            <w:rPr>
              <w:rFonts w:asciiTheme="minorHAnsi" w:eastAsiaTheme="minorEastAsia" w:hAnsiTheme="minorHAnsi" w:cstheme="minorBidi"/>
              <w:noProof/>
            </w:rPr>
          </w:pPr>
          <w:hyperlink w:anchor="_Toc513713952" w:history="1">
            <w:r w:rsidRPr="00517BB4">
              <w:rPr>
                <w:rStyle w:val="Hyperlink"/>
                <w:noProof/>
              </w:rPr>
              <w:t>3.2 Right to life</w:t>
            </w:r>
            <w:r>
              <w:rPr>
                <w:noProof/>
                <w:webHidden/>
              </w:rPr>
              <w:tab/>
            </w:r>
            <w:r>
              <w:rPr>
                <w:noProof/>
                <w:webHidden/>
              </w:rPr>
              <w:fldChar w:fldCharType="begin"/>
            </w:r>
            <w:r>
              <w:rPr>
                <w:noProof/>
                <w:webHidden/>
              </w:rPr>
              <w:instrText xml:space="preserve"> PAGEREF _Toc513713952 \h </w:instrText>
            </w:r>
            <w:r>
              <w:rPr>
                <w:noProof/>
                <w:webHidden/>
              </w:rPr>
            </w:r>
            <w:r>
              <w:rPr>
                <w:noProof/>
                <w:webHidden/>
              </w:rPr>
              <w:fldChar w:fldCharType="separate"/>
            </w:r>
            <w:r>
              <w:rPr>
                <w:noProof/>
                <w:webHidden/>
              </w:rPr>
              <w:t>11</w:t>
            </w:r>
            <w:r>
              <w:rPr>
                <w:noProof/>
                <w:webHidden/>
              </w:rPr>
              <w:fldChar w:fldCharType="end"/>
            </w:r>
          </w:hyperlink>
        </w:p>
        <w:p w14:paraId="23D7AAD6" w14:textId="65EBBE0B" w:rsidR="00E90F29" w:rsidRDefault="00E90F29">
          <w:pPr>
            <w:pStyle w:val="TOC3"/>
            <w:tabs>
              <w:tab w:val="right" w:leader="dot" w:pos="8290"/>
            </w:tabs>
            <w:rPr>
              <w:rFonts w:asciiTheme="minorHAnsi" w:eastAsiaTheme="minorEastAsia" w:hAnsiTheme="minorHAnsi" w:cstheme="minorBidi"/>
              <w:noProof/>
            </w:rPr>
          </w:pPr>
          <w:hyperlink w:anchor="_Toc513713953" w:history="1">
            <w:r w:rsidRPr="00517BB4">
              <w:rPr>
                <w:rStyle w:val="Hyperlink"/>
                <w:noProof/>
              </w:rPr>
              <w:t>3.2.1 General considerations</w:t>
            </w:r>
            <w:r>
              <w:rPr>
                <w:noProof/>
                <w:webHidden/>
              </w:rPr>
              <w:tab/>
            </w:r>
            <w:r>
              <w:rPr>
                <w:noProof/>
                <w:webHidden/>
              </w:rPr>
              <w:fldChar w:fldCharType="begin"/>
            </w:r>
            <w:r>
              <w:rPr>
                <w:noProof/>
                <w:webHidden/>
              </w:rPr>
              <w:instrText xml:space="preserve"> PAGEREF _Toc513713953 \h </w:instrText>
            </w:r>
            <w:r>
              <w:rPr>
                <w:noProof/>
                <w:webHidden/>
              </w:rPr>
            </w:r>
            <w:r>
              <w:rPr>
                <w:noProof/>
                <w:webHidden/>
              </w:rPr>
              <w:fldChar w:fldCharType="separate"/>
            </w:r>
            <w:r>
              <w:rPr>
                <w:noProof/>
                <w:webHidden/>
              </w:rPr>
              <w:t>11</w:t>
            </w:r>
            <w:r>
              <w:rPr>
                <w:noProof/>
                <w:webHidden/>
              </w:rPr>
              <w:fldChar w:fldCharType="end"/>
            </w:r>
          </w:hyperlink>
        </w:p>
        <w:p w14:paraId="23C1912F" w14:textId="25B17FCA" w:rsidR="00E90F29" w:rsidRDefault="00E90F29">
          <w:pPr>
            <w:pStyle w:val="TOC3"/>
            <w:tabs>
              <w:tab w:val="right" w:leader="dot" w:pos="8290"/>
            </w:tabs>
            <w:rPr>
              <w:rFonts w:asciiTheme="minorHAnsi" w:eastAsiaTheme="minorEastAsia" w:hAnsiTheme="minorHAnsi" w:cstheme="minorBidi"/>
              <w:noProof/>
            </w:rPr>
          </w:pPr>
          <w:hyperlink w:anchor="_Toc513713954" w:history="1">
            <w:r w:rsidRPr="00517BB4">
              <w:rPr>
                <w:rStyle w:val="Hyperlink"/>
                <w:noProof/>
              </w:rPr>
              <w:t>3.2.2 Substantive and procedural right associated with the right to life</w:t>
            </w:r>
            <w:r>
              <w:rPr>
                <w:noProof/>
                <w:webHidden/>
              </w:rPr>
              <w:tab/>
            </w:r>
            <w:r>
              <w:rPr>
                <w:noProof/>
                <w:webHidden/>
              </w:rPr>
              <w:fldChar w:fldCharType="begin"/>
            </w:r>
            <w:r>
              <w:rPr>
                <w:noProof/>
                <w:webHidden/>
              </w:rPr>
              <w:instrText xml:space="preserve"> PAGEREF _Toc513713954 \h </w:instrText>
            </w:r>
            <w:r>
              <w:rPr>
                <w:noProof/>
                <w:webHidden/>
              </w:rPr>
            </w:r>
            <w:r>
              <w:rPr>
                <w:noProof/>
                <w:webHidden/>
              </w:rPr>
              <w:fldChar w:fldCharType="separate"/>
            </w:r>
            <w:r>
              <w:rPr>
                <w:noProof/>
                <w:webHidden/>
              </w:rPr>
              <w:t>11</w:t>
            </w:r>
            <w:r>
              <w:rPr>
                <w:noProof/>
                <w:webHidden/>
              </w:rPr>
              <w:fldChar w:fldCharType="end"/>
            </w:r>
          </w:hyperlink>
        </w:p>
        <w:p w14:paraId="53EB8FD0" w14:textId="3502B7AD" w:rsidR="00E90F29" w:rsidRDefault="00E90F29">
          <w:pPr>
            <w:pStyle w:val="TOC2"/>
            <w:tabs>
              <w:tab w:val="right" w:leader="dot" w:pos="8290"/>
            </w:tabs>
            <w:rPr>
              <w:rFonts w:asciiTheme="minorHAnsi" w:eastAsiaTheme="minorEastAsia" w:hAnsiTheme="minorHAnsi" w:cstheme="minorBidi"/>
              <w:noProof/>
            </w:rPr>
          </w:pPr>
          <w:hyperlink w:anchor="_Toc513713955" w:history="1">
            <w:r w:rsidRPr="00517BB4">
              <w:rPr>
                <w:rStyle w:val="Hyperlink"/>
                <w:noProof/>
              </w:rPr>
              <w:t>3.3 Right to protection against torture and inhuman and degrading treatment</w:t>
            </w:r>
            <w:r>
              <w:rPr>
                <w:noProof/>
                <w:webHidden/>
              </w:rPr>
              <w:tab/>
            </w:r>
            <w:r>
              <w:rPr>
                <w:noProof/>
                <w:webHidden/>
              </w:rPr>
              <w:fldChar w:fldCharType="begin"/>
            </w:r>
            <w:r>
              <w:rPr>
                <w:noProof/>
                <w:webHidden/>
              </w:rPr>
              <w:instrText xml:space="preserve"> PAGEREF _Toc513713955 \h </w:instrText>
            </w:r>
            <w:r>
              <w:rPr>
                <w:noProof/>
                <w:webHidden/>
              </w:rPr>
            </w:r>
            <w:r>
              <w:rPr>
                <w:noProof/>
                <w:webHidden/>
              </w:rPr>
              <w:fldChar w:fldCharType="separate"/>
            </w:r>
            <w:r>
              <w:rPr>
                <w:noProof/>
                <w:webHidden/>
              </w:rPr>
              <w:t>12</w:t>
            </w:r>
            <w:r>
              <w:rPr>
                <w:noProof/>
                <w:webHidden/>
              </w:rPr>
              <w:fldChar w:fldCharType="end"/>
            </w:r>
          </w:hyperlink>
        </w:p>
        <w:p w14:paraId="0EF9134E" w14:textId="6CC22D4F" w:rsidR="00E90F29" w:rsidRDefault="00E90F29">
          <w:pPr>
            <w:pStyle w:val="TOC3"/>
            <w:tabs>
              <w:tab w:val="right" w:leader="dot" w:pos="8290"/>
            </w:tabs>
            <w:rPr>
              <w:rFonts w:asciiTheme="minorHAnsi" w:eastAsiaTheme="minorEastAsia" w:hAnsiTheme="minorHAnsi" w:cstheme="minorBidi"/>
              <w:noProof/>
            </w:rPr>
          </w:pPr>
          <w:hyperlink w:anchor="_Toc513713956" w:history="1">
            <w:r w:rsidRPr="00517BB4">
              <w:rPr>
                <w:rStyle w:val="Hyperlink"/>
                <w:noProof/>
              </w:rPr>
              <w:t>3.3.1 General considerations</w:t>
            </w:r>
            <w:r>
              <w:rPr>
                <w:noProof/>
                <w:webHidden/>
              </w:rPr>
              <w:tab/>
            </w:r>
            <w:r>
              <w:rPr>
                <w:noProof/>
                <w:webHidden/>
              </w:rPr>
              <w:fldChar w:fldCharType="begin"/>
            </w:r>
            <w:r>
              <w:rPr>
                <w:noProof/>
                <w:webHidden/>
              </w:rPr>
              <w:instrText xml:space="preserve"> PAGEREF _Toc513713956 \h </w:instrText>
            </w:r>
            <w:r>
              <w:rPr>
                <w:noProof/>
                <w:webHidden/>
              </w:rPr>
            </w:r>
            <w:r>
              <w:rPr>
                <w:noProof/>
                <w:webHidden/>
              </w:rPr>
              <w:fldChar w:fldCharType="separate"/>
            </w:r>
            <w:r>
              <w:rPr>
                <w:noProof/>
                <w:webHidden/>
              </w:rPr>
              <w:t>12</w:t>
            </w:r>
            <w:r>
              <w:rPr>
                <w:noProof/>
                <w:webHidden/>
              </w:rPr>
              <w:fldChar w:fldCharType="end"/>
            </w:r>
          </w:hyperlink>
        </w:p>
        <w:p w14:paraId="04664AAA" w14:textId="2C0E530C" w:rsidR="00E90F29" w:rsidRDefault="00E90F29">
          <w:pPr>
            <w:pStyle w:val="TOC3"/>
            <w:tabs>
              <w:tab w:val="right" w:leader="dot" w:pos="8290"/>
            </w:tabs>
            <w:rPr>
              <w:rFonts w:asciiTheme="minorHAnsi" w:eastAsiaTheme="minorEastAsia" w:hAnsiTheme="minorHAnsi" w:cstheme="minorBidi"/>
              <w:noProof/>
            </w:rPr>
          </w:pPr>
          <w:hyperlink w:anchor="_Toc513713957" w:history="1">
            <w:r w:rsidRPr="00517BB4">
              <w:rPr>
                <w:rStyle w:val="Hyperlink"/>
                <w:noProof/>
              </w:rPr>
              <w:t>3.3.2 Procedural rights and obligations</w:t>
            </w:r>
            <w:r>
              <w:rPr>
                <w:noProof/>
                <w:webHidden/>
              </w:rPr>
              <w:tab/>
            </w:r>
            <w:r>
              <w:rPr>
                <w:noProof/>
                <w:webHidden/>
              </w:rPr>
              <w:fldChar w:fldCharType="begin"/>
            </w:r>
            <w:r>
              <w:rPr>
                <w:noProof/>
                <w:webHidden/>
              </w:rPr>
              <w:instrText xml:space="preserve"> PAGEREF _Toc513713957 \h </w:instrText>
            </w:r>
            <w:r>
              <w:rPr>
                <w:noProof/>
                <w:webHidden/>
              </w:rPr>
            </w:r>
            <w:r>
              <w:rPr>
                <w:noProof/>
                <w:webHidden/>
              </w:rPr>
              <w:fldChar w:fldCharType="separate"/>
            </w:r>
            <w:r>
              <w:rPr>
                <w:noProof/>
                <w:webHidden/>
              </w:rPr>
              <w:t>14</w:t>
            </w:r>
            <w:r>
              <w:rPr>
                <w:noProof/>
                <w:webHidden/>
              </w:rPr>
              <w:fldChar w:fldCharType="end"/>
            </w:r>
          </w:hyperlink>
        </w:p>
        <w:p w14:paraId="634B1F7E" w14:textId="39F6F0A5" w:rsidR="00E90F29" w:rsidRDefault="00E90F29">
          <w:pPr>
            <w:pStyle w:val="TOC2"/>
            <w:tabs>
              <w:tab w:val="right" w:leader="dot" w:pos="8290"/>
            </w:tabs>
            <w:rPr>
              <w:rFonts w:asciiTheme="minorHAnsi" w:eastAsiaTheme="minorEastAsia" w:hAnsiTheme="minorHAnsi" w:cstheme="minorBidi"/>
              <w:noProof/>
            </w:rPr>
          </w:pPr>
          <w:hyperlink w:anchor="_Toc513713958" w:history="1">
            <w:r w:rsidRPr="00517BB4">
              <w:rPr>
                <w:rStyle w:val="Hyperlink"/>
                <w:noProof/>
              </w:rPr>
              <w:t>3.4 Right to liberty</w:t>
            </w:r>
            <w:r>
              <w:rPr>
                <w:noProof/>
                <w:webHidden/>
              </w:rPr>
              <w:tab/>
            </w:r>
            <w:r>
              <w:rPr>
                <w:noProof/>
                <w:webHidden/>
              </w:rPr>
              <w:fldChar w:fldCharType="begin"/>
            </w:r>
            <w:r>
              <w:rPr>
                <w:noProof/>
                <w:webHidden/>
              </w:rPr>
              <w:instrText xml:space="preserve"> PAGEREF _Toc513713958 \h </w:instrText>
            </w:r>
            <w:r>
              <w:rPr>
                <w:noProof/>
                <w:webHidden/>
              </w:rPr>
            </w:r>
            <w:r>
              <w:rPr>
                <w:noProof/>
                <w:webHidden/>
              </w:rPr>
              <w:fldChar w:fldCharType="separate"/>
            </w:r>
            <w:r>
              <w:rPr>
                <w:noProof/>
                <w:webHidden/>
              </w:rPr>
              <w:t>14</w:t>
            </w:r>
            <w:r>
              <w:rPr>
                <w:noProof/>
                <w:webHidden/>
              </w:rPr>
              <w:fldChar w:fldCharType="end"/>
            </w:r>
          </w:hyperlink>
        </w:p>
        <w:p w14:paraId="54040667" w14:textId="487D9191" w:rsidR="00E90F29" w:rsidRDefault="00E90F29">
          <w:pPr>
            <w:pStyle w:val="TOC3"/>
            <w:tabs>
              <w:tab w:val="right" w:leader="dot" w:pos="8290"/>
            </w:tabs>
            <w:rPr>
              <w:rFonts w:asciiTheme="minorHAnsi" w:eastAsiaTheme="minorEastAsia" w:hAnsiTheme="minorHAnsi" w:cstheme="minorBidi"/>
              <w:noProof/>
            </w:rPr>
          </w:pPr>
          <w:hyperlink w:anchor="_Toc513713959" w:history="1">
            <w:r w:rsidRPr="00517BB4">
              <w:rPr>
                <w:rStyle w:val="Hyperlink"/>
                <w:noProof/>
              </w:rPr>
              <w:t>3.4.1 General considerations</w:t>
            </w:r>
            <w:r>
              <w:rPr>
                <w:noProof/>
                <w:webHidden/>
              </w:rPr>
              <w:tab/>
            </w:r>
            <w:r>
              <w:rPr>
                <w:noProof/>
                <w:webHidden/>
              </w:rPr>
              <w:fldChar w:fldCharType="begin"/>
            </w:r>
            <w:r>
              <w:rPr>
                <w:noProof/>
                <w:webHidden/>
              </w:rPr>
              <w:instrText xml:space="preserve"> PAGEREF _Toc513713959 \h </w:instrText>
            </w:r>
            <w:r>
              <w:rPr>
                <w:noProof/>
                <w:webHidden/>
              </w:rPr>
            </w:r>
            <w:r>
              <w:rPr>
                <w:noProof/>
                <w:webHidden/>
              </w:rPr>
              <w:fldChar w:fldCharType="separate"/>
            </w:r>
            <w:r>
              <w:rPr>
                <w:noProof/>
                <w:webHidden/>
              </w:rPr>
              <w:t>14</w:t>
            </w:r>
            <w:r>
              <w:rPr>
                <w:noProof/>
                <w:webHidden/>
              </w:rPr>
              <w:fldChar w:fldCharType="end"/>
            </w:r>
          </w:hyperlink>
        </w:p>
        <w:p w14:paraId="39769142" w14:textId="4C5B2C05" w:rsidR="00E90F29" w:rsidRDefault="00E90F29">
          <w:pPr>
            <w:pStyle w:val="TOC3"/>
            <w:tabs>
              <w:tab w:val="right" w:leader="dot" w:pos="8290"/>
            </w:tabs>
            <w:rPr>
              <w:rFonts w:asciiTheme="minorHAnsi" w:eastAsiaTheme="minorEastAsia" w:hAnsiTheme="minorHAnsi" w:cstheme="minorBidi"/>
              <w:noProof/>
            </w:rPr>
          </w:pPr>
          <w:hyperlink w:anchor="_Toc513713960" w:history="1">
            <w:r w:rsidRPr="00517BB4">
              <w:rPr>
                <w:rStyle w:val="Hyperlink"/>
                <w:noProof/>
              </w:rPr>
              <w:t>3.4.2 No guarantee against others</w:t>
            </w:r>
            <w:r>
              <w:rPr>
                <w:noProof/>
                <w:webHidden/>
              </w:rPr>
              <w:tab/>
            </w:r>
            <w:r>
              <w:rPr>
                <w:noProof/>
                <w:webHidden/>
              </w:rPr>
              <w:fldChar w:fldCharType="begin"/>
            </w:r>
            <w:r>
              <w:rPr>
                <w:noProof/>
                <w:webHidden/>
              </w:rPr>
              <w:instrText xml:space="preserve"> PAGEREF _Toc513713960 \h </w:instrText>
            </w:r>
            <w:r>
              <w:rPr>
                <w:noProof/>
                <w:webHidden/>
              </w:rPr>
            </w:r>
            <w:r>
              <w:rPr>
                <w:noProof/>
                <w:webHidden/>
              </w:rPr>
              <w:fldChar w:fldCharType="separate"/>
            </w:r>
            <w:r>
              <w:rPr>
                <w:noProof/>
                <w:webHidden/>
              </w:rPr>
              <w:t>14</w:t>
            </w:r>
            <w:r>
              <w:rPr>
                <w:noProof/>
                <w:webHidden/>
              </w:rPr>
              <w:fldChar w:fldCharType="end"/>
            </w:r>
          </w:hyperlink>
        </w:p>
        <w:p w14:paraId="14AF63C6" w14:textId="5DF1AA6C" w:rsidR="00E90F29" w:rsidRDefault="00E90F29">
          <w:pPr>
            <w:pStyle w:val="TOC3"/>
            <w:tabs>
              <w:tab w:val="right" w:leader="dot" w:pos="8290"/>
            </w:tabs>
            <w:rPr>
              <w:rFonts w:asciiTheme="minorHAnsi" w:eastAsiaTheme="minorEastAsia" w:hAnsiTheme="minorHAnsi" w:cstheme="minorBidi"/>
              <w:noProof/>
            </w:rPr>
          </w:pPr>
          <w:hyperlink w:anchor="_Toc513713961" w:history="1">
            <w:r w:rsidRPr="00517BB4">
              <w:rPr>
                <w:rStyle w:val="Hyperlink"/>
                <w:noProof/>
              </w:rPr>
              <w:t>3.4.3 Access to casefile</w:t>
            </w:r>
            <w:r>
              <w:rPr>
                <w:noProof/>
                <w:webHidden/>
              </w:rPr>
              <w:tab/>
            </w:r>
            <w:r>
              <w:rPr>
                <w:noProof/>
                <w:webHidden/>
              </w:rPr>
              <w:fldChar w:fldCharType="begin"/>
            </w:r>
            <w:r>
              <w:rPr>
                <w:noProof/>
                <w:webHidden/>
              </w:rPr>
              <w:instrText xml:space="preserve"> PAGEREF _Toc513713961 \h </w:instrText>
            </w:r>
            <w:r>
              <w:rPr>
                <w:noProof/>
                <w:webHidden/>
              </w:rPr>
            </w:r>
            <w:r>
              <w:rPr>
                <w:noProof/>
                <w:webHidden/>
              </w:rPr>
              <w:fldChar w:fldCharType="separate"/>
            </w:r>
            <w:r>
              <w:rPr>
                <w:noProof/>
                <w:webHidden/>
              </w:rPr>
              <w:t>15</w:t>
            </w:r>
            <w:r>
              <w:rPr>
                <w:noProof/>
                <w:webHidden/>
              </w:rPr>
              <w:fldChar w:fldCharType="end"/>
            </w:r>
          </w:hyperlink>
        </w:p>
        <w:p w14:paraId="279371C2" w14:textId="53833519" w:rsidR="00E90F29" w:rsidRDefault="00E90F29">
          <w:pPr>
            <w:pStyle w:val="TOC3"/>
            <w:tabs>
              <w:tab w:val="right" w:leader="dot" w:pos="8290"/>
            </w:tabs>
            <w:rPr>
              <w:rFonts w:asciiTheme="minorHAnsi" w:eastAsiaTheme="minorEastAsia" w:hAnsiTheme="minorHAnsi" w:cstheme="minorBidi"/>
              <w:noProof/>
            </w:rPr>
          </w:pPr>
          <w:hyperlink w:anchor="_Toc513713962" w:history="1">
            <w:r w:rsidRPr="00517BB4">
              <w:rPr>
                <w:rStyle w:val="Hyperlink"/>
                <w:noProof/>
              </w:rPr>
              <w:t>3.4.4 Lawfulness and length of pre-trial detention</w:t>
            </w:r>
            <w:r>
              <w:rPr>
                <w:noProof/>
                <w:webHidden/>
              </w:rPr>
              <w:tab/>
            </w:r>
            <w:r>
              <w:rPr>
                <w:noProof/>
                <w:webHidden/>
              </w:rPr>
              <w:fldChar w:fldCharType="begin"/>
            </w:r>
            <w:r>
              <w:rPr>
                <w:noProof/>
                <w:webHidden/>
              </w:rPr>
              <w:instrText xml:space="preserve"> PAGEREF _Toc513713962 \h </w:instrText>
            </w:r>
            <w:r>
              <w:rPr>
                <w:noProof/>
                <w:webHidden/>
              </w:rPr>
            </w:r>
            <w:r>
              <w:rPr>
                <w:noProof/>
                <w:webHidden/>
              </w:rPr>
              <w:fldChar w:fldCharType="separate"/>
            </w:r>
            <w:r>
              <w:rPr>
                <w:noProof/>
                <w:webHidden/>
              </w:rPr>
              <w:t>15</w:t>
            </w:r>
            <w:r>
              <w:rPr>
                <w:noProof/>
                <w:webHidden/>
              </w:rPr>
              <w:fldChar w:fldCharType="end"/>
            </w:r>
          </w:hyperlink>
        </w:p>
        <w:p w14:paraId="5E7FD63F" w14:textId="6A9D3E40" w:rsidR="00E90F29" w:rsidRDefault="00E90F29">
          <w:pPr>
            <w:pStyle w:val="TOC2"/>
            <w:tabs>
              <w:tab w:val="right" w:leader="dot" w:pos="8290"/>
            </w:tabs>
            <w:rPr>
              <w:rFonts w:asciiTheme="minorHAnsi" w:eastAsiaTheme="minorEastAsia" w:hAnsiTheme="minorHAnsi" w:cstheme="minorBidi"/>
              <w:noProof/>
            </w:rPr>
          </w:pPr>
          <w:hyperlink w:anchor="_Toc513713963" w:history="1">
            <w:r w:rsidRPr="00517BB4">
              <w:rPr>
                <w:rStyle w:val="Hyperlink"/>
                <w:noProof/>
              </w:rPr>
              <w:t>3.5 Right to fair trial</w:t>
            </w:r>
            <w:r>
              <w:rPr>
                <w:noProof/>
                <w:webHidden/>
              </w:rPr>
              <w:tab/>
            </w:r>
            <w:r>
              <w:rPr>
                <w:noProof/>
                <w:webHidden/>
              </w:rPr>
              <w:fldChar w:fldCharType="begin"/>
            </w:r>
            <w:r>
              <w:rPr>
                <w:noProof/>
                <w:webHidden/>
              </w:rPr>
              <w:instrText xml:space="preserve"> PAGEREF _Toc513713963 \h </w:instrText>
            </w:r>
            <w:r>
              <w:rPr>
                <w:noProof/>
                <w:webHidden/>
              </w:rPr>
            </w:r>
            <w:r>
              <w:rPr>
                <w:noProof/>
                <w:webHidden/>
              </w:rPr>
              <w:fldChar w:fldCharType="separate"/>
            </w:r>
            <w:r>
              <w:rPr>
                <w:noProof/>
                <w:webHidden/>
              </w:rPr>
              <w:t>15</w:t>
            </w:r>
            <w:r>
              <w:rPr>
                <w:noProof/>
                <w:webHidden/>
              </w:rPr>
              <w:fldChar w:fldCharType="end"/>
            </w:r>
          </w:hyperlink>
        </w:p>
        <w:p w14:paraId="694B269F" w14:textId="582516AE" w:rsidR="00E90F29" w:rsidRDefault="00E90F29">
          <w:pPr>
            <w:pStyle w:val="TOC3"/>
            <w:tabs>
              <w:tab w:val="right" w:leader="dot" w:pos="8290"/>
            </w:tabs>
            <w:rPr>
              <w:rFonts w:asciiTheme="minorHAnsi" w:eastAsiaTheme="minorEastAsia" w:hAnsiTheme="minorHAnsi" w:cstheme="minorBidi"/>
              <w:noProof/>
            </w:rPr>
          </w:pPr>
          <w:hyperlink w:anchor="_Toc513713964" w:history="1">
            <w:r w:rsidRPr="00517BB4">
              <w:rPr>
                <w:rStyle w:val="Hyperlink"/>
                <w:noProof/>
              </w:rPr>
              <w:t>3.5.1 General considerations</w:t>
            </w:r>
            <w:r>
              <w:rPr>
                <w:noProof/>
                <w:webHidden/>
              </w:rPr>
              <w:tab/>
            </w:r>
            <w:r>
              <w:rPr>
                <w:noProof/>
                <w:webHidden/>
              </w:rPr>
              <w:fldChar w:fldCharType="begin"/>
            </w:r>
            <w:r>
              <w:rPr>
                <w:noProof/>
                <w:webHidden/>
              </w:rPr>
              <w:instrText xml:space="preserve"> PAGEREF _Toc513713964 \h </w:instrText>
            </w:r>
            <w:r>
              <w:rPr>
                <w:noProof/>
                <w:webHidden/>
              </w:rPr>
            </w:r>
            <w:r>
              <w:rPr>
                <w:noProof/>
                <w:webHidden/>
              </w:rPr>
              <w:fldChar w:fldCharType="separate"/>
            </w:r>
            <w:r>
              <w:rPr>
                <w:noProof/>
                <w:webHidden/>
              </w:rPr>
              <w:t>15</w:t>
            </w:r>
            <w:r>
              <w:rPr>
                <w:noProof/>
                <w:webHidden/>
              </w:rPr>
              <w:fldChar w:fldCharType="end"/>
            </w:r>
          </w:hyperlink>
        </w:p>
        <w:p w14:paraId="031585A5" w14:textId="01A4770C" w:rsidR="00E90F29" w:rsidRDefault="00E90F29">
          <w:pPr>
            <w:pStyle w:val="TOC3"/>
            <w:tabs>
              <w:tab w:val="right" w:leader="dot" w:pos="8290"/>
            </w:tabs>
            <w:rPr>
              <w:rFonts w:asciiTheme="minorHAnsi" w:eastAsiaTheme="minorEastAsia" w:hAnsiTheme="minorHAnsi" w:cstheme="minorBidi"/>
              <w:noProof/>
            </w:rPr>
          </w:pPr>
          <w:hyperlink w:anchor="_Toc513713965" w:history="1">
            <w:r w:rsidRPr="00517BB4">
              <w:rPr>
                <w:rStyle w:val="Hyperlink"/>
                <w:noProof/>
              </w:rPr>
              <w:t>3.5.2 Length of proceedings</w:t>
            </w:r>
            <w:r>
              <w:rPr>
                <w:noProof/>
                <w:webHidden/>
              </w:rPr>
              <w:tab/>
            </w:r>
            <w:r>
              <w:rPr>
                <w:noProof/>
                <w:webHidden/>
              </w:rPr>
              <w:fldChar w:fldCharType="begin"/>
            </w:r>
            <w:r>
              <w:rPr>
                <w:noProof/>
                <w:webHidden/>
              </w:rPr>
              <w:instrText xml:space="preserve"> PAGEREF _Toc513713965 \h </w:instrText>
            </w:r>
            <w:r>
              <w:rPr>
                <w:noProof/>
                <w:webHidden/>
              </w:rPr>
            </w:r>
            <w:r>
              <w:rPr>
                <w:noProof/>
                <w:webHidden/>
              </w:rPr>
              <w:fldChar w:fldCharType="separate"/>
            </w:r>
            <w:r>
              <w:rPr>
                <w:noProof/>
                <w:webHidden/>
              </w:rPr>
              <w:t>16</w:t>
            </w:r>
            <w:r>
              <w:rPr>
                <w:noProof/>
                <w:webHidden/>
              </w:rPr>
              <w:fldChar w:fldCharType="end"/>
            </w:r>
          </w:hyperlink>
        </w:p>
        <w:p w14:paraId="6BB4C349" w14:textId="4FC7A443" w:rsidR="00E90F29" w:rsidRDefault="00E90F29">
          <w:pPr>
            <w:pStyle w:val="TOC3"/>
            <w:tabs>
              <w:tab w:val="right" w:leader="dot" w:pos="8290"/>
            </w:tabs>
            <w:rPr>
              <w:rFonts w:asciiTheme="minorHAnsi" w:eastAsiaTheme="minorEastAsia" w:hAnsiTheme="minorHAnsi" w:cstheme="minorBidi"/>
              <w:noProof/>
            </w:rPr>
          </w:pPr>
          <w:hyperlink w:anchor="_Toc513713966" w:history="1">
            <w:r w:rsidRPr="00517BB4">
              <w:rPr>
                <w:rStyle w:val="Hyperlink"/>
                <w:noProof/>
              </w:rPr>
              <w:t>3.5.3 Execution of judgment</w:t>
            </w:r>
            <w:r>
              <w:rPr>
                <w:noProof/>
                <w:webHidden/>
              </w:rPr>
              <w:tab/>
            </w:r>
            <w:r>
              <w:rPr>
                <w:noProof/>
                <w:webHidden/>
              </w:rPr>
              <w:fldChar w:fldCharType="begin"/>
            </w:r>
            <w:r>
              <w:rPr>
                <w:noProof/>
                <w:webHidden/>
              </w:rPr>
              <w:instrText xml:space="preserve"> PAGEREF _Toc513713966 \h </w:instrText>
            </w:r>
            <w:r>
              <w:rPr>
                <w:noProof/>
                <w:webHidden/>
              </w:rPr>
            </w:r>
            <w:r>
              <w:rPr>
                <w:noProof/>
                <w:webHidden/>
              </w:rPr>
              <w:fldChar w:fldCharType="separate"/>
            </w:r>
            <w:r>
              <w:rPr>
                <w:noProof/>
                <w:webHidden/>
              </w:rPr>
              <w:t>18</w:t>
            </w:r>
            <w:r>
              <w:rPr>
                <w:noProof/>
                <w:webHidden/>
              </w:rPr>
              <w:fldChar w:fldCharType="end"/>
            </w:r>
          </w:hyperlink>
        </w:p>
        <w:p w14:paraId="10B4B824" w14:textId="3C829CBF" w:rsidR="00E90F29" w:rsidRDefault="00E90F29">
          <w:pPr>
            <w:pStyle w:val="TOC3"/>
            <w:tabs>
              <w:tab w:val="right" w:leader="dot" w:pos="8290"/>
            </w:tabs>
            <w:rPr>
              <w:rFonts w:asciiTheme="minorHAnsi" w:eastAsiaTheme="minorEastAsia" w:hAnsiTheme="minorHAnsi" w:cstheme="minorBidi"/>
              <w:noProof/>
            </w:rPr>
          </w:pPr>
          <w:hyperlink w:anchor="_Toc513713967" w:history="1">
            <w:r w:rsidRPr="00517BB4">
              <w:rPr>
                <w:rStyle w:val="Hyperlink"/>
                <w:noProof/>
              </w:rPr>
              <w:t>3.5.4 Administrative authorities deciding issues of rights</w:t>
            </w:r>
            <w:r>
              <w:rPr>
                <w:noProof/>
                <w:webHidden/>
              </w:rPr>
              <w:tab/>
            </w:r>
            <w:r>
              <w:rPr>
                <w:noProof/>
                <w:webHidden/>
              </w:rPr>
              <w:fldChar w:fldCharType="begin"/>
            </w:r>
            <w:r>
              <w:rPr>
                <w:noProof/>
                <w:webHidden/>
              </w:rPr>
              <w:instrText xml:space="preserve"> PAGEREF _Toc513713967 \h </w:instrText>
            </w:r>
            <w:r>
              <w:rPr>
                <w:noProof/>
                <w:webHidden/>
              </w:rPr>
            </w:r>
            <w:r>
              <w:rPr>
                <w:noProof/>
                <w:webHidden/>
              </w:rPr>
              <w:fldChar w:fldCharType="separate"/>
            </w:r>
            <w:r>
              <w:rPr>
                <w:noProof/>
                <w:webHidden/>
              </w:rPr>
              <w:t>19</w:t>
            </w:r>
            <w:r>
              <w:rPr>
                <w:noProof/>
                <w:webHidden/>
              </w:rPr>
              <w:fldChar w:fldCharType="end"/>
            </w:r>
          </w:hyperlink>
        </w:p>
        <w:p w14:paraId="000907C9" w14:textId="3C727A02" w:rsidR="00E90F29" w:rsidRDefault="00E90F29">
          <w:pPr>
            <w:pStyle w:val="TOC3"/>
            <w:tabs>
              <w:tab w:val="right" w:leader="dot" w:pos="8290"/>
            </w:tabs>
            <w:rPr>
              <w:rFonts w:asciiTheme="minorHAnsi" w:eastAsiaTheme="minorEastAsia" w:hAnsiTheme="minorHAnsi" w:cstheme="minorBidi"/>
              <w:noProof/>
            </w:rPr>
          </w:pPr>
          <w:hyperlink w:anchor="_Toc513713968" w:history="1">
            <w:r w:rsidRPr="00517BB4">
              <w:rPr>
                <w:rStyle w:val="Hyperlink"/>
                <w:noProof/>
              </w:rPr>
              <w:t>3.5.5 No personal right to prosecution guaranteed</w:t>
            </w:r>
            <w:r>
              <w:rPr>
                <w:noProof/>
                <w:webHidden/>
              </w:rPr>
              <w:tab/>
            </w:r>
            <w:r>
              <w:rPr>
                <w:noProof/>
                <w:webHidden/>
              </w:rPr>
              <w:fldChar w:fldCharType="begin"/>
            </w:r>
            <w:r>
              <w:rPr>
                <w:noProof/>
                <w:webHidden/>
              </w:rPr>
              <w:instrText xml:space="preserve"> PAGEREF _Toc513713968 \h </w:instrText>
            </w:r>
            <w:r>
              <w:rPr>
                <w:noProof/>
                <w:webHidden/>
              </w:rPr>
            </w:r>
            <w:r>
              <w:rPr>
                <w:noProof/>
                <w:webHidden/>
              </w:rPr>
              <w:fldChar w:fldCharType="separate"/>
            </w:r>
            <w:r>
              <w:rPr>
                <w:noProof/>
                <w:webHidden/>
              </w:rPr>
              <w:t>20</w:t>
            </w:r>
            <w:r>
              <w:rPr>
                <w:noProof/>
                <w:webHidden/>
              </w:rPr>
              <w:fldChar w:fldCharType="end"/>
            </w:r>
          </w:hyperlink>
        </w:p>
        <w:p w14:paraId="757C612A" w14:textId="265748AD" w:rsidR="00E90F29" w:rsidRDefault="00E90F29">
          <w:pPr>
            <w:pStyle w:val="TOC3"/>
            <w:tabs>
              <w:tab w:val="right" w:leader="dot" w:pos="8290"/>
            </w:tabs>
            <w:rPr>
              <w:rFonts w:asciiTheme="minorHAnsi" w:eastAsiaTheme="minorEastAsia" w:hAnsiTheme="minorHAnsi" w:cstheme="minorBidi"/>
              <w:noProof/>
            </w:rPr>
          </w:pPr>
          <w:hyperlink w:anchor="_Toc513713969" w:history="1">
            <w:r w:rsidRPr="00517BB4">
              <w:rPr>
                <w:rStyle w:val="Hyperlink"/>
                <w:noProof/>
              </w:rPr>
              <w:t>3.5.6 Right to access to court</w:t>
            </w:r>
            <w:r>
              <w:rPr>
                <w:noProof/>
                <w:webHidden/>
              </w:rPr>
              <w:tab/>
            </w:r>
            <w:r>
              <w:rPr>
                <w:noProof/>
                <w:webHidden/>
              </w:rPr>
              <w:fldChar w:fldCharType="begin"/>
            </w:r>
            <w:r>
              <w:rPr>
                <w:noProof/>
                <w:webHidden/>
              </w:rPr>
              <w:instrText xml:space="preserve"> PAGEREF _Toc513713969 \h </w:instrText>
            </w:r>
            <w:r>
              <w:rPr>
                <w:noProof/>
                <w:webHidden/>
              </w:rPr>
            </w:r>
            <w:r>
              <w:rPr>
                <w:noProof/>
                <w:webHidden/>
              </w:rPr>
              <w:fldChar w:fldCharType="separate"/>
            </w:r>
            <w:r>
              <w:rPr>
                <w:noProof/>
                <w:webHidden/>
              </w:rPr>
              <w:t>20</w:t>
            </w:r>
            <w:r>
              <w:rPr>
                <w:noProof/>
                <w:webHidden/>
              </w:rPr>
              <w:fldChar w:fldCharType="end"/>
            </w:r>
          </w:hyperlink>
        </w:p>
        <w:p w14:paraId="3FA87C79" w14:textId="43AA41AA" w:rsidR="00E90F29" w:rsidRDefault="00E90F29">
          <w:pPr>
            <w:pStyle w:val="TOC2"/>
            <w:tabs>
              <w:tab w:val="right" w:leader="dot" w:pos="8290"/>
            </w:tabs>
            <w:rPr>
              <w:rFonts w:asciiTheme="minorHAnsi" w:eastAsiaTheme="minorEastAsia" w:hAnsiTheme="minorHAnsi" w:cstheme="minorBidi"/>
              <w:noProof/>
            </w:rPr>
          </w:pPr>
          <w:hyperlink w:anchor="_Toc513713970" w:history="1">
            <w:r w:rsidRPr="00517BB4">
              <w:rPr>
                <w:rStyle w:val="Hyperlink"/>
                <w:noProof/>
              </w:rPr>
              <w:t>3.6 Right to family life and privacy</w:t>
            </w:r>
            <w:r>
              <w:rPr>
                <w:noProof/>
                <w:webHidden/>
              </w:rPr>
              <w:tab/>
            </w:r>
            <w:r>
              <w:rPr>
                <w:noProof/>
                <w:webHidden/>
              </w:rPr>
              <w:fldChar w:fldCharType="begin"/>
            </w:r>
            <w:r>
              <w:rPr>
                <w:noProof/>
                <w:webHidden/>
              </w:rPr>
              <w:instrText xml:space="preserve"> PAGEREF _Toc513713970 \h </w:instrText>
            </w:r>
            <w:r>
              <w:rPr>
                <w:noProof/>
                <w:webHidden/>
              </w:rPr>
            </w:r>
            <w:r>
              <w:rPr>
                <w:noProof/>
                <w:webHidden/>
              </w:rPr>
              <w:fldChar w:fldCharType="separate"/>
            </w:r>
            <w:r>
              <w:rPr>
                <w:noProof/>
                <w:webHidden/>
              </w:rPr>
              <w:t>22</w:t>
            </w:r>
            <w:r>
              <w:rPr>
                <w:noProof/>
                <w:webHidden/>
              </w:rPr>
              <w:fldChar w:fldCharType="end"/>
            </w:r>
          </w:hyperlink>
        </w:p>
        <w:p w14:paraId="3DBC0AF2" w14:textId="500336B1" w:rsidR="00E90F29" w:rsidRDefault="00E90F29">
          <w:pPr>
            <w:pStyle w:val="TOC3"/>
            <w:tabs>
              <w:tab w:val="right" w:leader="dot" w:pos="8290"/>
            </w:tabs>
            <w:rPr>
              <w:rFonts w:asciiTheme="minorHAnsi" w:eastAsiaTheme="minorEastAsia" w:hAnsiTheme="minorHAnsi" w:cstheme="minorBidi"/>
              <w:noProof/>
            </w:rPr>
          </w:pPr>
          <w:hyperlink w:anchor="_Toc513713971" w:history="1">
            <w:r w:rsidRPr="00517BB4">
              <w:rPr>
                <w:rStyle w:val="Hyperlink"/>
                <w:noProof/>
              </w:rPr>
              <w:t>3.6.1 General considerations</w:t>
            </w:r>
            <w:r>
              <w:rPr>
                <w:noProof/>
                <w:webHidden/>
              </w:rPr>
              <w:tab/>
            </w:r>
            <w:r>
              <w:rPr>
                <w:noProof/>
                <w:webHidden/>
              </w:rPr>
              <w:fldChar w:fldCharType="begin"/>
            </w:r>
            <w:r>
              <w:rPr>
                <w:noProof/>
                <w:webHidden/>
              </w:rPr>
              <w:instrText xml:space="preserve"> PAGEREF _Toc513713971 \h </w:instrText>
            </w:r>
            <w:r>
              <w:rPr>
                <w:noProof/>
                <w:webHidden/>
              </w:rPr>
            </w:r>
            <w:r>
              <w:rPr>
                <w:noProof/>
                <w:webHidden/>
              </w:rPr>
              <w:fldChar w:fldCharType="separate"/>
            </w:r>
            <w:r>
              <w:rPr>
                <w:noProof/>
                <w:webHidden/>
              </w:rPr>
              <w:t>22</w:t>
            </w:r>
            <w:r>
              <w:rPr>
                <w:noProof/>
                <w:webHidden/>
              </w:rPr>
              <w:fldChar w:fldCharType="end"/>
            </w:r>
          </w:hyperlink>
        </w:p>
        <w:p w14:paraId="71FCA959" w14:textId="538E3264" w:rsidR="00E90F29" w:rsidRDefault="00E90F29">
          <w:pPr>
            <w:pStyle w:val="TOC3"/>
            <w:tabs>
              <w:tab w:val="right" w:leader="dot" w:pos="8290"/>
            </w:tabs>
            <w:rPr>
              <w:rFonts w:asciiTheme="minorHAnsi" w:eastAsiaTheme="minorEastAsia" w:hAnsiTheme="minorHAnsi" w:cstheme="minorBidi"/>
              <w:noProof/>
            </w:rPr>
          </w:pPr>
          <w:hyperlink w:anchor="_Toc513713972" w:history="1">
            <w:r w:rsidRPr="00517BB4">
              <w:rPr>
                <w:rStyle w:val="Hyperlink"/>
                <w:noProof/>
              </w:rPr>
              <w:t>3.6.2 Right to “private life” as a broad notion</w:t>
            </w:r>
            <w:r>
              <w:rPr>
                <w:noProof/>
                <w:webHidden/>
              </w:rPr>
              <w:tab/>
            </w:r>
            <w:r>
              <w:rPr>
                <w:noProof/>
                <w:webHidden/>
              </w:rPr>
              <w:fldChar w:fldCharType="begin"/>
            </w:r>
            <w:r>
              <w:rPr>
                <w:noProof/>
                <w:webHidden/>
              </w:rPr>
              <w:instrText xml:space="preserve"> PAGEREF _Toc513713972 \h </w:instrText>
            </w:r>
            <w:r>
              <w:rPr>
                <w:noProof/>
                <w:webHidden/>
              </w:rPr>
            </w:r>
            <w:r>
              <w:rPr>
                <w:noProof/>
                <w:webHidden/>
              </w:rPr>
              <w:fldChar w:fldCharType="separate"/>
            </w:r>
            <w:r>
              <w:rPr>
                <w:noProof/>
                <w:webHidden/>
              </w:rPr>
              <w:t>22</w:t>
            </w:r>
            <w:r>
              <w:rPr>
                <w:noProof/>
                <w:webHidden/>
              </w:rPr>
              <w:fldChar w:fldCharType="end"/>
            </w:r>
          </w:hyperlink>
        </w:p>
        <w:p w14:paraId="04F9A775" w14:textId="27D8B69C" w:rsidR="00E90F29" w:rsidRDefault="00E90F29">
          <w:pPr>
            <w:pStyle w:val="TOC3"/>
            <w:tabs>
              <w:tab w:val="right" w:leader="dot" w:pos="8290"/>
            </w:tabs>
            <w:rPr>
              <w:rFonts w:asciiTheme="minorHAnsi" w:eastAsiaTheme="minorEastAsia" w:hAnsiTheme="minorHAnsi" w:cstheme="minorBidi"/>
              <w:noProof/>
            </w:rPr>
          </w:pPr>
          <w:hyperlink w:anchor="_Toc513713973" w:history="1">
            <w:r w:rsidRPr="00517BB4">
              <w:rPr>
                <w:rStyle w:val="Hyperlink"/>
                <w:noProof/>
              </w:rPr>
              <w:t>3.6.3 Negative and positive obligations arising for the authorities from this right</w:t>
            </w:r>
            <w:r>
              <w:rPr>
                <w:noProof/>
                <w:webHidden/>
              </w:rPr>
              <w:tab/>
            </w:r>
            <w:r>
              <w:rPr>
                <w:noProof/>
                <w:webHidden/>
              </w:rPr>
              <w:fldChar w:fldCharType="begin"/>
            </w:r>
            <w:r>
              <w:rPr>
                <w:noProof/>
                <w:webHidden/>
              </w:rPr>
              <w:instrText xml:space="preserve"> PAGEREF _Toc513713973 \h </w:instrText>
            </w:r>
            <w:r>
              <w:rPr>
                <w:noProof/>
                <w:webHidden/>
              </w:rPr>
            </w:r>
            <w:r>
              <w:rPr>
                <w:noProof/>
                <w:webHidden/>
              </w:rPr>
              <w:fldChar w:fldCharType="separate"/>
            </w:r>
            <w:r>
              <w:rPr>
                <w:noProof/>
                <w:webHidden/>
              </w:rPr>
              <w:t>23</w:t>
            </w:r>
            <w:r>
              <w:rPr>
                <w:noProof/>
                <w:webHidden/>
              </w:rPr>
              <w:fldChar w:fldCharType="end"/>
            </w:r>
          </w:hyperlink>
        </w:p>
        <w:p w14:paraId="7899EB2C" w14:textId="4AF4A3A1" w:rsidR="00E90F29" w:rsidRDefault="00E90F29">
          <w:pPr>
            <w:pStyle w:val="TOC3"/>
            <w:tabs>
              <w:tab w:val="right" w:leader="dot" w:pos="8290"/>
            </w:tabs>
            <w:rPr>
              <w:rFonts w:asciiTheme="minorHAnsi" w:eastAsiaTheme="minorEastAsia" w:hAnsiTheme="minorHAnsi" w:cstheme="minorBidi"/>
              <w:noProof/>
            </w:rPr>
          </w:pPr>
          <w:hyperlink w:anchor="_Toc513713974" w:history="1">
            <w:r w:rsidRPr="00517BB4">
              <w:rPr>
                <w:rStyle w:val="Hyperlink"/>
                <w:noProof/>
              </w:rPr>
              <w:t>3.6.4 Protection of a person’s home and certain professional or business activities or premises</w:t>
            </w:r>
            <w:r>
              <w:rPr>
                <w:noProof/>
                <w:webHidden/>
              </w:rPr>
              <w:tab/>
            </w:r>
            <w:r>
              <w:rPr>
                <w:noProof/>
                <w:webHidden/>
              </w:rPr>
              <w:fldChar w:fldCharType="begin"/>
            </w:r>
            <w:r>
              <w:rPr>
                <w:noProof/>
                <w:webHidden/>
              </w:rPr>
              <w:instrText xml:space="preserve"> PAGEREF _Toc513713974 \h </w:instrText>
            </w:r>
            <w:r>
              <w:rPr>
                <w:noProof/>
                <w:webHidden/>
              </w:rPr>
            </w:r>
            <w:r>
              <w:rPr>
                <w:noProof/>
                <w:webHidden/>
              </w:rPr>
              <w:fldChar w:fldCharType="separate"/>
            </w:r>
            <w:r>
              <w:rPr>
                <w:noProof/>
                <w:webHidden/>
              </w:rPr>
              <w:t>24</w:t>
            </w:r>
            <w:r>
              <w:rPr>
                <w:noProof/>
                <w:webHidden/>
              </w:rPr>
              <w:fldChar w:fldCharType="end"/>
            </w:r>
          </w:hyperlink>
        </w:p>
        <w:p w14:paraId="43DFF59D" w14:textId="0EF3BA03" w:rsidR="00E90F29" w:rsidRDefault="00E90F29">
          <w:pPr>
            <w:pStyle w:val="TOC3"/>
            <w:tabs>
              <w:tab w:val="right" w:leader="dot" w:pos="8290"/>
            </w:tabs>
            <w:rPr>
              <w:rFonts w:asciiTheme="minorHAnsi" w:eastAsiaTheme="minorEastAsia" w:hAnsiTheme="minorHAnsi" w:cstheme="minorBidi"/>
              <w:noProof/>
            </w:rPr>
          </w:pPr>
          <w:hyperlink w:anchor="_Toc513713975" w:history="1">
            <w:r w:rsidRPr="00517BB4">
              <w:rPr>
                <w:rStyle w:val="Hyperlink"/>
                <w:noProof/>
              </w:rPr>
              <w:t>3.6.5 Right to family life and privacy and the protection of one’s good name and reputation</w:t>
            </w:r>
            <w:r>
              <w:rPr>
                <w:noProof/>
                <w:webHidden/>
              </w:rPr>
              <w:tab/>
            </w:r>
            <w:r>
              <w:rPr>
                <w:noProof/>
                <w:webHidden/>
              </w:rPr>
              <w:fldChar w:fldCharType="begin"/>
            </w:r>
            <w:r>
              <w:rPr>
                <w:noProof/>
                <w:webHidden/>
              </w:rPr>
              <w:instrText xml:space="preserve"> PAGEREF _Toc513713975 \h </w:instrText>
            </w:r>
            <w:r>
              <w:rPr>
                <w:noProof/>
                <w:webHidden/>
              </w:rPr>
            </w:r>
            <w:r>
              <w:rPr>
                <w:noProof/>
                <w:webHidden/>
              </w:rPr>
              <w:fldChar w:fldCharType="separate"/>
            </w:r>
            <w:r>
              <w:rPr>
                <w:noProof/>
                <w:webHidden/>
              </w:rPr>
              <w:t>25</w:t>
            </w:r>
            <w:r>
              <w:rPr>
                <w:noProof/>
                <w:webHidden/>
              </w:rPr>
              <w:fldChar w:fldCharType="end"/>
            </w:r>
          </w:hyperlink>
        </w:p>
        <w:p w14:paraId="01DE60FB" w14:textId="6150FB93" w:rsidR="00E90F29" w:rsidRDefault="00E90F29">
          <w:pPr>
            <w:pStyle w:val="TOC3"/>
            <w:tabs>
              <w:tab w:val="right" w:leader="dot" w:pos="8290"/>
            </w:tabs>
            <w:rPr>
              <w:rFonts w:asciiTheme="minorHAnsi" w:eastAsiaTheme="minorEastAsia" w:hAnsiTheme="minorHAnsi" w:cstheme="minorBidi"/>
              <w:noProof/>
            </w:rPr>
          </w:pPr>
          <w:hyperlink w:anchor="_Toc513713976" w:history="1">
            <w:r w:rsidRPr="00517BB4">
              <w:rPr>
                <w:rStyle w:val="Hyperlink"/>
                <w:noProof/>
              </w:rPr>
              <w:t>3.6.6 Protection of witnesses and disclosure of information</w:t>
            </w:r>
            <w:r>
              <w:rPr>
                <w:noProof/>
                <w:webHidden/>
              </w:rPr>
              <w:tab/>
            </w:r>
            <w:r>
              <w:rPr>
                <w:noProof/>
                <w:webHidden/>
              </w:rPr>
              <w:fldChar w:fldCharType="begin"/>
            </w:r>
            <w:r>
              <w:rPr>
                <w:noProof/>
                <w:webHidden/>
              </w:rPr>
              <w:instrText xml:space="preserve"> PAGEREF _Toc513713976 \h </w:instrText>
            </w:r>
            <w:r>
              <w:rPr>
                <w:noProof/>
                <w:webHidden/>
              </w:rPr>
            </w:r>
            <w:r>
              <w:rPr>
                <w:noProof/>
                <w:webHidden/>
              </w:rPr>
              <w:fldChar w:fldCharType="separate"/>
            </w:r>
            <w:r>
              <w:rPr>
                <w:noProof/>
                <w:webHidden/>
              </w:rPr>
              <w:t>26</w:t>
            </w:r>
            <w:r>
              <w:rPr>
                <w:noProof/>
                <w:webHidden/>
              </w:rPr>
              <w:fldChar w:fldCharType="end"/>
            </w:r>
          </w:hyperlink>
        </w:p>
        <w:p w14:paraId="4B3B2199" w14:textId="6C1B4846" w:rsidR="00E90F29" w:rsidRDefault="00E90F29">
          <w:pPr>
            <w:pStyle w:val="TOC2"/>
            <w:tabs>
              <w:tab w:val="right" w:leader="dot" w:pos="8290"/>
            </w:tabs>
            <w:rPr>
              <w:rFonts w:asciiTheme="minorHAnsi" w:eastAsiaTheme="minorEastAsia" w:hAnsiTheme="minorHAnsi" w:cstheme="minorBidi"/>
              <w:noProof/>
            </w:rPr>
          </w:pPr>
          <w:hyperlink w:anchor="_Toc513713977" w:history="1">
            <w:r w:rsidRPr="00517BB4">
              <w:rPr>
                <w:rStyle w:val="Hyperlink"/>
                <w:noProof/>
              </w:rPr>
              <w:t>3.7 Freedom of assembly and association and freedom of religion</w:t>
            </w:r>
            <w:r>
              <w:rPr>
                <w:noProof/>
                <w:webHidden/>
              </w:rPr>
              <w:tab/>
            </w:r>
            <w:r>
              <w:rPr>
                <w:noProof/>
                <w:webHidden/>
              </w:rPr>
              <w:fldChar w:fldCharType="begin"/>
            </w:r>
            <w:r>
              <w:rPr>
                <w:noProof/>
                <w:webHidden/>
              </w:rPr>
              <w:instrText xml:space="preserve"> PAGEREF _Toc513713977 \h </w:instrText>
            </w:r>
            <w:r>
              <w:rPr>
                <w:noProof/>
                <w:webHidden/>
              </w:rPr>
            </w:r>
            <w:r>
              <w:rPr>
                <w:noProof/>
                <w:webHidden/>
              </w:rPr>
              <w:fldChar w:fldCharType="separate"/>
            </w:r>
            <w:r>
              <w:rPr>
                <w:noProof/>
                <w:webHidden/>
              </w:rPr>
              <w:t>30</w:t>
            </w:r>
            <w:r>
              <w:rPr>
                <w:noProof/>
                <w:webHidden/>
              </w:rPr>
              <w:fldChar w:fldCharType="end"/>
            </w:r>
          </w:hyperlink>
        </w:p>
        <w:p w14:paraId="3684CF10" w14:textId="6BEDF8FD" w:rsidR="00E90F29" w:rsidRDefault="00E90F29">
          <w:pPr>
            <w:pStyle w:val="TOC3"/>
            <w:tabs>
              <w:tab w:val="right" w:leader="dot" w:pos="8290"/>
            </w:tabs>
            <w:rPr>
              <w:rFonts w:asciiTheme="minorHAnsi" w:eastAsiaTheme="minorEastAsia" w:hAnsiTheme="minorHAnsi" w:cstheme="minorBidi"/>
              <w:noProof/>
            </w:rPr>
          </w:pPr>
          <w:hyperlink w:anchor="_Toc513713978" w:history="1">
            <w:r w:rsidRPr="00517BB4">
              <w:rPr>
                <w:rStyle w:val="Hyperlink"/>
                <w:noProof/>
              </w:rPr>
              <w:t>3.7.1 General considerations</w:t>
            </w:r>
            <w:r>
              <w:rPr>
                <w:noProof/>
                <w:webHidden/>
              </w:rPr>
              <w:tab/>
            </w:r>
            <w:r>
              <w:rPr>
                <w:noProof/>
                <w:webHidden/>
              </w:rPr>
              <w:fldChar w:fldCharType="begin"/>
            </w:r>
            <w:r>
              <w:rPr>
                <w:noProof/>
                <w:webHidden/>
              </w:rPr>
              <w:instrText xml:space="preserve"> PAGEREF _Toc513713978 \h </w:instrText>
            </w:r>
            <w:r>
              <w:rPr>
                <w:noProof/>
                <w:webHidden/>
              </w:rPr>
            </w:r>
            <w:r>
              <w:rPr>
                <w:noProof/>
                <w:webHidden/>
              </w:rPr>
              <w:fldChar w:fldCharType="separate"/>
            </w:r>
            <w:r>
              <w:rPr>
                <w:noProof/>
                <w:webHidden/>
              </w:rPr>
              <w:t>30</w:t>
            </w:r>
            <w:r>
              <w:rPr>
                <w:noProof/>
                <w:webHidden/>
              </w:rPr>
              <w:fldChar w:fldCharType="end"/>
            </w:r>
          </w:hyperlink>
        </w:p>
        <w:p w14:paraId="2008798C" w14:textId="5699C9D1" w:rsidR="00E90F29" w:rsidRDefault="00E90F29">
          <w:pPr>
            <w:pStyle w:val="TOC3"/>
            <w:tabs>
              <w:tab w:val="right" w:leader="dot" w:pos="8290"/>
            </w:tabs>
            <w:rPr>
              <w:rFonts w:asciiTheme="minorHAnsi" w:eastAsiaTheme="minorEastAsia" w:hAnsiTheme="minorHAnsi" w:cstheme="minorBidi"/>
              <w:noProof/>
            </w:rPr>
          </w:pPr>
          <w:hyperlink w:anchor="_Toc513713979" w:history="1">
            <w:r w:rsidRPr="00517BB4">
              <w:rPr>
                <w:rStyle w:val="Hyperlink"/>
                <w:noProof/>
              </w:rPr>
              <w:t>3.7.2 Foresight, planning and adequate allocation of resources by the authorities</w:t>
            </w:r>
            <w:r>
              <w:rPr>
                <w:noProof/>
                <w:webHidden/>
              </w:rPr>
              <w:tab/>
            </w:r>
            <w:r>
              <w:rPr>
                <w:noProof/>
                <w:webHidden/>
              </w:rPr>
              <w:fldChar w:fldCharType="begin"/>
            </w:r>
            <w:r>
              <w:rPr>
                <w:noProof/>
                <w:webHidden/>
              </w:rPr>
              <w:instrText xml:space="preserve"> PAGEREF _Toc513713979 \h </w:instrText>
            </w:r>
            <w:r>
              <w:rPr>
                <w:noProof/>
                <w:webHidden/>
              </w:rPr>
            </w:r>
            <w:r>
              <w:rPr>
                <w:noProof/>
                <w:webHidden/>
              </w:rPr>
              <w:fldChar w:fldCharType="separate"/>
            </w:r>
            <w:r>
              <w:rPr>
                <w:noProof/>
                <w:webHidden/>
              </w:rPr>
              <w:t>31</w:t>
            </w:r>
            <w:r>
              <w:rPr>
                <w:noProof/>
                <w:webHidden/>
              </w:rPr>
              <w:fldChar w:fldCharType="end"/>
            </w:r>
          </w:hyperlink>
        </w:p>
        <w:p w14:paraId="002BB672" w14:textId="7B57B552" w:rsidR="00E90F29" w:rsidRDefault="00E90F29">
          <w:pPr>
            <w:pStyle w:val="TOC3"/>
            <w:tabs>
              <w:tab w:val="right" w:leader="dot" w:pos="8290"/>
            </w:tabs>
            <w:rPr>
              <w:rFonts w:asciiTheme="minorHAnsi" w:eastAsiaTheme="minorEastAsia" w:hAnsiTheme="minorHAnsi" w:cstheme="minorBidi"/>
              <w:noProof/>
            </w:rPr>
          </w:pPr>
          <w:hyperlink w:anchor="_Toc513713980" w:history="1">
            <w:r w:rsidRPr="00517BB4">
              <w:rPr>
                <w:rStyle w:val="Hyperlink"/>
                <w:noProof/>
              </w:rPr>
              <w:t>3.7.3 Freedom of religion</w:t>
            </w:r>
            <w:r>
              <w:rPr>
                <w:noProof/>
                <w:webHidden/>
              </w:rPr>
              <w:tab/>
            </w:r>
            <w:r>
              <w:rPr>
                <w:noProof/>
                <w:webHidden/>
              </w:rPr>
              <w:fldChar w:fldCharType="begin"/>
            </w:r>
            <w:r>
              <w:rPr>
                <w:noProof/>
                <w:webHidden/>
              </w:rPr>
              <w:instrText xml:space="preserve"> PAGEREF _Toc513713980 \h </w:instrText>
            </w:r>
            <w:r>
              <w:rPr>
                <w:noProof/>
                <w:webHidden/>
              </w:rPr>
            </w:r>
            <w:r>
              <w:rPr>
                <w:noProof/>
                <w:webHidden/>
              </w:rPr>
              <w:fldChar w:fldCharType="separate"/>
            </w:r>
            <w:r>
              <w:rPr>
                <w:noProof/>
                <w:webHidden/>
              </w:rPr>
              <w:t>33</w:t>
            </w:r>
            <w:r>
              <w:rPr>
                <w:noProof/>
                <w:webHidden/>
              </w:rPr>
              <w:fldChar w:fldCharType="end"/>
            </w:r>
          </w:hyperlink>
        </w:p>
        <w:p w14:paraId="2802EAF0" w14:textId="5A51D464" w:rsidR="00E90F29" w:rsidRDefault="00E90F29">
          <w:pPr>
            <w:pStyle w:val="TOC2"/>
            <w:tabs>
              <w:tab w:val="left" w:pos="960"/>
              <w:tab w:val="right" w:leader="dot" w:pos="8290"/>
            </w:tabs>
            <w:rPr>
              <w:rFonts w:asciiTheme="minorHAnsi" w:eastAsiaTheme="minorEastAsia" w:hAnsiTheme="minorHAnsi" w:cstheme="minorBidi"/>
              <w:noProof/>
            </w:rPr>
          </w:pPr>
          <w:hyperlink w:anchor="_Toc513713981" w:history="1">
            <w:r w:rsidRPr="00517BB4">
              <w:rPr>
                <w:rStyle w:val="Hyperlink"/>
                <w:noProof/>
              </w:rPr>
              <w:t>3.8</w:t>
            </w:r>
            <w:r>
              <w:rPr>
                <w:rFonts w:asciiTheme="minorHAnsi" w:eastAsiaTheme="minorEastAsia" w:hAnsiTheme="minorHAnsi" w:cstheme="minorBidi"/>
                <w:noProof/>
              </w:rPr>
              <w:tab/>
            </w:r>
            <w:r w:rsidRPr="00517BB4">
              <w:rPr>
                <w:rStyle w:val="Hyperlink"/>
                <w:noProof/>
              </w:rPr>
              <w:t>Right to an effective remedy</w:t>
            </w:r>
            <w:r>
              <w:rPr>
                <w:noProof/>
                <w:webHidden/>
              </w:rPr>
              <w:tab/>
            </w:r>
            <w:r>
              <w:rPr>
                <w:noProof/>
                <w:webHidden/>
              </w:rPr>
              <w:fldChar w:fldCharType="begin"/>
            </w:r>
            <w:r>
              <w:rPr>
                <w:noProof/>
                <w:webHidden/>
              </w:rPr>
              <w:instrText xml:space="preserve"> PAGEREF _Toc513713981 \h </w:instrText>
            </w:r>
            <w:r>
              <w:rPr>
                <w:noProof/>
                <w:webHidden/>
              </w:rPr>
            </w:r>
            <w:r>
              <w:rPr>
                <w:noProof/>
                <w:webHidden/>
              </w:rPr>
              <w:fldChar w:fldCharType="separate"/>
            </w:r>
            <w:r>
              <w:rPr>
                <w:noProof/>
                <w:webHidden/>
              </w:rPr>
              <w:t>33</w:t>
            </w:r>
            <w:r>
              <w:rPr>
                <w:noProof/>
                <w:webHidden/>
              </w:rPr>
              <w:fldChar w:fldCharType="end"/>
            </w:r>
          </w:hyperlink>
        </w:p>
        <w:p w14:paraId="12FBC385" w14:textId="7F180ECB" w:rsidR="00E90F29" w:rsidRDefault="00E90F29">
          <w:pPr>
            <w:pStyle w:val="TOC3"/>
            <w:tabs>
              <w:tab w:val="right" w:leader="dot" w:pos="8290"/>
            </w:tabs>
            <w:rPr>
              <w:rFonts w:asciiTheme="minorHAnsi" w:eastAsiaTheme="minorEastAsia" w:hAnsiTheme="minorHAnsi" w:cstheme="minorBidi"/>
              <w:noProof/>
            </w:rPr>
          </w:pPr>
          <w:hyperlink w:anchor="_Toc513713982" w:history="1">
            <w:r w:rsidRPr="00517BB4">
              <w:rPr>
                <w:rStyle w:val="Hyperlink"/>
                <w:noProof/>
              </w:rPr>
              <w:t>3.8.1 General considerations</w:t>
            </w:r>
            <w:r>
              <w:rPr>
                <w:noProof/>
                <w:webHidden/>
              </w:rPr>
              <w:tab/>
            </w:r>
            <w:r>
              <w:rPr>
                <w:noProof/>
                <w:webHidden/>
              </w:rPr>
              <w:fldChar w:fldCharType="begin"/>
            </w:r>
            <w:r>
              <w:rPr>
                <w:noProof/>
                <w:webHidden/>
              </w:rPr>
              <w:instrText xml:space="preserve"> PAGEREF _Toc513713982 \h </w:instrText>
            </w:r>
            <w:r>
              <w:rPr>
                <w:noProof/>
                <w:webHidden/>
              </w:rPr>
            </w:r>
            <w:r>
              <w:rPr>
                <w:noProof/>
                <w:webHidden/>
              </w:rPr>
              <w:fldChar w:fldCharType="separate"/>
            </w:r>
            <w:r>
              <w:rPr>
                <w:noProof/>
                <w:webHidden/>
              </w:rPr>
              <w:t>33</w:t>
            </w:r>
            <w:r>
              <w:rPr>
                <w:noProof/>
                <w:webHidden/>
              </w:rPr>
              <w:fldChar w:fldCharType="end"/>
            </w:r>
          </w:hyperlink>
        </w:p>
        <w:p w14:paraId="5F888E5F" w14:textId="02EFBB1E" w:rsidR="00E90F29" w:rsidRDefault="00E90F29">
          <w:pPr>
            <w:pStyle w:val="TOC3"/>
            <w:tabs>
              <w:tab w:val="right" w:leader="dot" w:pos="8290"/>
            </w:tabs>
            <w:rPr>
              <w:rFonts w:asciiTheme="minorHAnsi" w:eastAsiaTheme="minorEastAsia" w:hAnsiTheme="minorHAnsi" w:cstheme="minorBidi"/>
              <w:noProof/>
            </w:rPr>
          </w:pPr>
          <w:hyperlink w:anchor="_Toc513713983" w:history="1">
            <w:r w:rsidRPr="00517BB4">
              <w:rPr>
                <w:rStyle w:val="Hyperlink"/>
                <w:noProof/>
              </w:rPr>
              <w:t>3.8.2 Organisation and transfer of files</w:t>
            </w:r>
            <w:r>
              <w:rPr>
                <w:noProof/>
                <w:webHidden/>
              </w:rPr>
              <w:tab/>
            </w:r>
            <w:r>
              <w:rPr>
                <w:noProof/>
                <w:webHidden/>
              </w:rPr>
              <w:fldChar w:fldCharType="begin"/>
            </w:r>
            <w:r>
              <w:rPr>
                <w:noProof/>
                <w:webHidden/>
              </w:rPr>
              <w:instrText xml:space="preserve"> PAGEREF _Toc513713983 \h </w:instrText>
            </w:r>
            <w:r>
              <w:rPr>
                <w:noProof/>
                <w:webHidden/>
              </w:rPr>
            </w:r>
            <w:r>
              <w:rPr>
                <w:noProof/>
                <w:webHidden/>
              </w:rPr>
              <w:fldChar w:fldCharType="separate"/>
            </w:r>
            <w:r>
              <w:rPr>
                <w:noProof/>
                <w:webHidden/>
              </w:rPr>
              <w:t>35</w:t>
            </w:r>
            <w:r>
              <w:rPr>
                <w:noProof/>
                <w:webHidden/>
              </w:rPr>
              <w:fldChar w:fldCharType="end"/>
            </w:r>
          </w:hyperlink>
        </w:p>
        <w:p w14:paraId="14CAB02D" w14:textId="770E2208" w:rsidR="00E90F29" w:rsidRDefault="00E90F29">
          <w:pPr>
            <w:pStyle w:val="TOC3"/>
            <w:tabs>
              <w:tab w:val="right" w:leader="dot" w:pos="8290"/>
            </w:tabs>
            <w:rPr>
              <w:rFonts w:asciiTheme="minorHAnsi" w:eastAsiaTheme="minorEastAsia" w:hAnsiTheme="minorHAnsi" w:cstheme="minorBidi"/>
              <w:noProof/>
            </w:rPr>
          </w:pPr>
          <w:hyperlink w:anchor="_Toc513713984" w:history="1">
            <w:r w:rsidRPr="00517BB4">
              <w:rPr>
                <w:rStyle w:val="Hyperlink"/>
                <w:noProof/>
              </w:rPr>
              <w:t>3.8.3 Duty to investigate and to provide information to victims or their relatives</w:t>
            </w:r>
            <w:r>
              <w:rPr>
                <w:noProof/>
                <w:webHidden/>
              </w:rPr>
              <w:tab/>
            </w:r>
            <w:r>
              <w:rPr>
                <w:noProof/>
                <w:webHidden/>
              </w:rPr>
              <w:fldChar w:fldCharType="begin"/>
            </w:r>
            <w:r>
              <w:rPr>
                <w:noProof/>
                <w:webHidden/>
              </w:rPr>
              <w:instrText xml:space="preserve"> PAGEREF _Toc513713984 \h </w:instrText>
            </w:r>
            <w:r>
              <w:rPr>
                <w:noProof/>
                <w:webHidden/>
              </w:rPr>
            </w:r>
            <w:r>
              <w:rPr>
                <w:noProof/>
                <w:webHidden/>
              </w:rPr>
              <w:fldChar w:fldCharType="separate"/>
            </w:r>
            <w:r>
              <w:rPr>
                <w:noProof/>
                <w:webHidden/>
              </w:rPr>
              <w:t>36</w:t>
            </w:r>
            <w:r>
              <w:rPr>
                <w:noProof/>
                <w:webHidden/>
              </w:rPr>
              <w:fldChar w:fldCharType="end"/>
            </w:r>
          </w:hyperlink>
        </w:p>
        <w:p w14:paraId="3ED563C6" w14:textId="67741F16" w:rsidR="00E90F29" w:rsidRDefault="00E90F29">
          <w:pPr>
            <w:pStyle w:val="TOC3"/>
            <w:tabs>
              <w:tab w:val="right" w:leader="dot" w:pos="8290"/>
            </w:tabs>
            <w:rPr>
              <w:rFonts w:asciiTheme="minorHAnsi" w:eastAsiaTheme="minorEastAsia" w:hAnsiTheme="minorHAnsi" w:cstheme="minorBidi"/>
              <w:noProof/>
            </w:rPr>
          </w:pPr>
          <w:hyperlink w:anchor="_Toc513713985" w:history="1">
            <w:r w:rsidRPr="00517BB4">
              <w:rPr>
                <w:rStyle w:val="Hyperlink"/>
                <w:noProof/>
              </w:rPr>
              <w:t>3.8.4 Preventing or interfering with the possibility of a remedy</w:t>
            </w:r>
            <w:r>
              <w:rPr>
                <w:noProof/>
                <w:webHidden/>
              </w:rPr>
              <w:tab/>
            </w:r>
            <w:r>
              <w:rPr>
                <w:noProof/>
                <w:webHidden/>
              </w:rPr>
              <w:fldChar w:fldCharType="begin"/>
            </w:r>
            <w:r>
              <w:rPr>
                <w:noProof/>
                <w:webHidden/>
              </w:rPr>
              <w:instrText xml:space="preserve"> PAGEREF _Toc513713985 \h </w:instrText>
            </w:r>
            <w:r>
              <w:rPr>
                <w:noProof/>
                <w:webHidden/>
              </w:rPr>
            </w:r>
            <w:r>
              <w:rPr>
                <w:noProof/>
                <w:webHidden/>
              </w:rPr>
              <w:fldChar w:fldCharType="separate"/>
            </w:r>
            <w:r>
              <w:rPr>
                <w:noProof/>
                <w:webHidden/>
              </w:rPr>
              <w:t>38</w:t>
            </w:r>
            <w:r>
              <w:rPr>
                <w:noProof/>
                <w:webHidden/>
              </w:rPr>
              <w:fldChar w:fldCharType="end"/>
            </w:r>
          </w:hyperlink>
        </w:p>
        <w:p w14:paraId="1B6169F7" w14:textId="2DF7E6D3" w:rsidR="00E90F29" w:rsidRDefault="00E90F29">
          <w:pPr>
            <w:pStyle w:val="TOC2"/>
            <w:tabs>
              <w:tab w:val="right" w:leader="dot" w:pos="8290"/>
            </w:tabs>
            <w:rPr>
              <w:rFonts w:asciiTheme="minorHAnsi" w:eastAsiaTheme="minorEastAsia" w:hAnsiTheme="minorHAnsi" w:cstheme="minorBidi"/>
              <w:noProof/>
            </w:rPr>
          </w:pPr>
          <w:hyperlink w:anchor="_Toc513713986" w:history="1">
            <w:r w:rsidRPr="00517BB4">
              <w:rPr>
                <w:rStyle w:val="Hyperlink"/>
                <w:noProof/>
              </w:rPr>
              <w:t>3.9 Right to property</w:t>
            </w:r>
            <w:r>
              <w:rPr>
                <w:noProof/>
                <w:webHidden/>
              </w:rPr>
              <w:tab/>
            </w:r>
            <w:r>
              <w:rPr>
                <w:noProof/>
                <w:webHidden/>
              </w:rPr>
              <w:fldChar w:fldCharType="begin"/>
            </w:r>
            <w:r>
              <w:rPr>
                <w:noProof/>
                <w:webHidden/>
              </w:rPr>
              <w:instrText xml:space="preserve"> PAGEREF _Toc513713986 \h </w:instrText>
            </w:r>
            <w:r>
              <w:rPr>
                <w:noProof/>
                <w:webHidden/>
              </w:rPr>
            </w:r>
            <w:r>
              <w:rPr>
                <w:noProof/>
                <w:webHidden/>
              </w:rPr>
              <w:fldChar w:fldCharType="separate"/>
            </w:r>
            <w:r>
              <w:rPr>
                <w:noProof/>
                <w:webHidden/>
              </w:rPr>
              <w:t>41</w:t>
            </w:r>
            <w:r>
              <w:rPr>
                <w:noProof/>
                <w:webHidden/>
              </w:rPr>
              <w:fldChar w:fldCharType="end"/>
            </w:r>
          </w:hyperlink>
        </w:p>
        <w:p w14:paraId="032AE3B4" w14:textId="07CC286F" w:rsidR="00E90F29" w:rsidRDefault="00E90F29">
          <w:pPr>
            <w:pStyle w:val="TOC3"/>
            <w:tabs>
              <w:tab w:val="right" w:leader="dot" w:pos="8290"/>
            </w:tabs>
            <w:rPr>
              <w:rFonts w:asciiTheme="minorHAnsi" w:eastAsiaTheme="minorEastAsia" w:hAnsiTheme="minorHAnsi" w:cstheme="minorBidi"/>
              <w:noProof/>
            </w:rPr>
          </w:pPr>
          <w:hyperlink w:anchor="_Toc513713987" w:history="1">
            <w:r w:rsidRPr="00517BB4">
              <w:rPr>
                <w:rStyle w:val="Hyperlink"/>
                <w:noProof/>
              </w:rPr>
              <w:t>3.9.1 Reliance on Article 1 Protocol 1 ECHR</w:t>
            </w:r>
            <w:r>
              <w:rPr>
                <w:noProof/>
                <w:webHidden/>
              </w:rPr>
              <w:tab/>
            </w:r>
            <w:r>
              <w:rPr>
                <w:noProof/>
                <w:webHidden/>
              </w:rPr>
              <w:fldChar w:fldCharType="begin"/>
            </w:r>
            <w:r>
              <w:rPr>
                <w:noProof/>
                <w:webHidden/>
              </w:rPr>
              <w:instrText xml:space="preserve"> PAGEREF _Toc513713987 \h </w:instrText>
            </w:r>
            <w:r>
              <w:rPr>
                <w:noProof/>
                <w:webHidden/>
              </w:rPr>
            </w:r>
            <w:r>
              <w:rPr>
                <w:noProof/>
                <w:webHidden/>
              </w:rPr>
              <w:fldChar w:fldCharType="separate"/>
            </w:r>
            <w:r>
              <w:rPr>
                <w:noProof/>
                <w:webHidden/>
              </w:rPr>
              <w:t>41</w:t>
            </w:r>
            <w:r>
              <w:rPr>
                <w:noProof/>
                <w:webHidden/>
              </w:rPr>
              <w:fldChar w:fldCharType="end"/>
            </w:r>
          </w:hyperlink>
        </w:p>
        <w:p w14:paraId="1F6E21FF" w14:textId="09473180" w:rsidR="00E90F29" w:rsidRDefault="00E90F29">
          <w:pPr>
            <w:pStyle w:val="TOC3"/>
            <w:tabs>
              <w:tab w:val="right" w:leader="dot" w:pos="8290"/>
            </w:tabs>
            <w:rPr>
              <w:rFonts w:asciiTheme="minorHAnsi" w:eastAsiaTheme="minorEastAsia" w:hAnsiTheme="minorHAnsi" w:cstheme="minorBidi"/>
              <w:noProof/>
            </w:rPr>
          </w:pPr>
          <w:hyperlink w:anchor="_Toc513713988" w:history="1">
            <w:r w:rsidRPr="00517BB4">
              <w:rPr>
                <w:rStyle w:val="Hyperlink"/>
                <w:noProof/>
              </w:rPr>
              <w:t>3.9.2 Notion of possession</w:t>
            </w:r>
            <w:r>
              <w:rPr>
                <w:noProof/>
                <w:webHidden/>
              </w:rPr>
              <w:tab/>
            </w:r>
            <w:r>
              <w:rPr>
                <w:noProof/>
                <w:webHidden/>
              </w:rPr>
              <w:fldChar w:fldCharType="begin"/>
            </w:r>
            <w:r>
              <w:rPr>
                <w:noProof/>
                <w:webHidden/>
              </w:rPr>
              <w:instrText xml:space="preserve"> PAGEREF _Toc513713988 \h </w:instrText>
            </w:r>
            <w:r>
              <w:rPr>
                <w:noProof/>
                <w:webHidden/>
              </w:rPr>
            </w:r>
            <w:r>
              <w:rPr>
                <w:noProof/>
                <w:webHidden/>
              </w:rPr>
              <w:fldChar w:fldCharType="separate"/>
            </w:r>
            <w:r>
              <w:rPr>
                <w:noProof/>
                <w:webHidden/>
              </w:rPr>
              <w:t>41</w:t>
            </w:r>
            <w:r>
              <w:rPr>
                <w:noProof/>
                <w:webHidden/>
              </w:rPr>
              <w:fldChar w:fldCharType="end"/>
            </w:r>
          </w:hyperlink>
        </w:p>
        <w:p w14:paraId="5F1AF08E" w14:textId="6F7A2401" w:rsidR="00E90F29" w:rsidRDefault="00E90F29">
          <w:pPr>
            <w:pStyle w:val="TOC3"/>
            <w:tabs>
              <w:tab w:val="right" w:leader="dot" w:pos="8290"/>
            </w:tabs>
            <w:rPr>
              <w:rFonts w:asciiTheme="minorHAnsi" w:eastAsiaTheme="minorEastAsia" w:hAnsiTheme="minorHAnsi" w:cstheme="minorBidi"/>
              <w:noProof/>
            </w:rPr>
          </w:pPr>
          <w:hyperlink w:anchor="_Toc513713989" w:history="1">
            <w:r w:rsidRPr="00517BB4">
              <w:rPr>
                <w:rStyle w:val="Hyperlink"/>
                <w:noProof/>
              </w:rPr>
              <w:t>3.9.3 Conditions of lawful interference with right to property</w:t>
            </w:r>
            <w:r>
              <w:rPr>
                <w:noProof/>
                <w:webHidden/>
              </w:rPr>
              <w:tab/>
            </w:r>
            <w:r>
              <w:rPr>
                <w:noProof/>
                <w:webHidden/>
              </w:rPr>
              <w:fldChar w:fldCharType="begin"/>
            </w:r>
            <w:r>
              <w:rPr>
                <w:noProof/>
                <w:webHidden/>
              </w:rPr>
              <w:instrText xml:space="preserve"> PAGEREF _Toc513713989 \h </w:instrText>
            </w:r>
            <w:r>
              <w:rPr>
                <w:noProof/>
                <w:webHidden/>
              </w:rPr>
            </w:r>
            <w:r>
              <w:rPr>
                <w:noProof/>
                <w:webHidden/>
              </w:rPr>
              <w:fldChar w:fldCharType="separate"/>
            </w:r>
            <w:r>
              <w:rPr>
                <w:noProof/>
                <w:webHidden/>
              </w:rPr>
              <w:t>42</w:t>
            </w:r>
            <w:r>
              <w:rPr>
                <w:noProof/>
                <w:webHidden/>
              </w:rPr>
              <w:fldChar w:fldCharType="end"/>
            </w:r>
          </w:hyperlink>
        </w:p>
        <w:p w14:paraId="278B5BEB" w14:textId="1CD40AE9" w:rsidR="00E90F29" w:rsidRDefault="00E90F29">
          <w:pPr>
            <w:pStyle w:val="TOC3"/>
            <w:tabs>
              <w:tab w:val="right" w:leader="dot" w:pos="8290"/>
            </w:tabs>
            <w:rPr>
              <w:rFonts w:asciiTheme="minorHAnsi" w:eastAsiaTheme="minorEastAsia" w:hAnsiTheme="minorHAnsi" w:cstheme="minorBidi"/>
              <w:noProof/>
            </w:rPr>
          </w:pPr>
          <w:hyperlink w:anchor="_Toc513713990" w:history="1">
            <w:r w:rsidRPr="00517BB4">
              <w:rPr>
                <w:rStyle w:val="Hyperlink"/>
                <w:noProof/>
              </w:rPr>
              <w:t>3.9.4 Overall assessment of conduct of authorities</w:t>
            </w:r>
            <w:r>
              <w:rPr>
                <w:noProof/>
                <w:webHidden/>
              </w:rPr>
              <w:tab/>
            </w:r>
            <w:r>
              <w:rPr>
                <w:noProof/>
                <w:webHidden/>
              </w:rPr>
              <w:fldChar w:fldCharType="begin"/>
            </w:r>
            <w:r>
              <w:rPr>
                <w:noProof/>
                <w:webHidden/>
              </w:rPr>
              <w:instrText xml:space="preserve"> PAGEREF _Toc513713990 \h </w:instrText>
            </w:r>
            <w:r>
              <w:rPr>
                <w:noProof/>
                <w:webHidden/>
              </w:rPr>
            </w:r>
            <w:r>
              <w:rPr>
                <w:noProof/>
                <w:webHidden/>
              </w:rPr>
              <w:fldChar w:fldCharType="separate"/>
            </w:r>
            <w:r>
              <w:rPr>
                <w:noProof/>
                <w:webHidden/>
              </w:rPr>
              <w:t>44</w:t>
            </w:r>
            <w:r>
              <w:rPr>
                <w:noProof/>
                <w:webHidden/>
              </w:rPr>
              <w:fldChar w:fldCharType="end"/>
            </w:r>
          </w:hyperlink>
        </w:p>
        <w:p w14:paraId="2852022A" w14:textId="3566267A" w:rsidR="00E90F29" w:rsidRDefault="00E90F29">
          <w:pPr>
            <w:pStyle w:val="TOC3"/>
            <w:tabs>
              <w:tab w:val="right" w:leader="dot" w:pos="8290"/>
            </w:tabs>
            <w:rPr>
              <w:rFonts w:asciiTheme="minorHAnsi" w:eastAsiaTheme="minorEastAsia" w:hAnsiTheme="minorHAnsi" w:cstheme="minorBidi"/>
              <w:noProof/>
            </w:rPr>
          </w:pPr>
          <w:hyperlink w:anchor="_Toc513713991" w:history="1">
            <w:r w:rsidRPr="00517BB4">
              <w:rPr>
                <w:rStyle w:val="Hyperlink"/>
                <w:noProof/>
              </w:rPr>
              <w:t>3.9.5 Impermissible interference does not require loss of control over property</w:t>
            </w:r>
            <w:r>
              <w:rPr>
                <w:noProof/>
                <w:webHidden/>
              </w:rPr>
              <w:tab/>
            </w:r>
            <w:r>
              <w:rPr>
                <w:noProof/>
                <w:webHidden/>
              </w:rPr>
              <w:fldChar w:fldCharType="begin"/>
            </w:r>
            <w:r>
              <w:rPr>
                <w:noProof/>
                <w:webHidden/>
              </w:rPr>
              <w:instrText xml:space="preserve"> PAGEREF _Toc513713991 \h </w:instrText>
            </w:r>
            <w:r>
              <w:rPr>
                <w:noProof/>
                <w:webHidden/>
              </w:rPr>
            </w:r>
            <w:r>
              <w:rPr>
                <w:noProof/>
                <w:webHidden/>
              </w:rPr>
              <w:fldChar w:fldCharType="separate"/>
            </w:r>
            <w:r>
              <w:rPr>
                <w:noProof/>
                <w:webHidden/>
              </w:rPr>
              <w:t>45</w:t>
            </w:r>
            <w:r>
              <w:rPr>
                <w:noProof/>
                <w:webHidden/>
              </w:rPr>
              <w:fldChar w:fldCharType="end"/>
            </w:r>
          </w:hyperlink>
        </w:p>
        <w:p w14:paraId="6D29DD25" w14:textId="5587CA7C" w:rsidR="00E90F29" w:rsidRDefault="00E90F29">
          <w:pPr>
            <w:pStyle w:val="TOC3"/>
            <w:tabs>
              <w:tab w:val="right" w:leader="dot" w:pos="8290"/>
            </w:tabs>
            <w:rPr>
              <w:rFonts w:asciiTheme="minorHAnsi" w:eastAsiaTheme="minorEastAsia" w:hAnsiTheme="minorHAnsi" w:cstheme="minorBidi"/>
              <w:noProof/>
            </w:rPr>
          </w:pPr>
          <w:hyperlink w:anchor="_Toc513713992" w:history="1">
            <w:r w:rsidRPr="00517BB4">
              <w:rPr>
                <w:rStyle w:val="Hyperlink"/>
                <w:noProof/>
              </w:rPr>
              <w:t>3.9.6 Refusal to obey court order can constitute interference with the right to property</w:t>
            </w:r>
            <w:r>
              <w:rPr>
                <w:noProof/>
                <w:webHidden/>
              </w:rPr>
              <w:tab/>
            </w:r>
            <w:r>
              <w:rPr>
                <w:noProof/>
                <w:webHidden/>
              </w:rPr>
              <w:fldChar w:fldCharType="begin"/>
            </w:r>
            <w:r>
              <w:rPr>
                <w:noProof/>
                <w:webHidden/>
              </w:rPr>
              <w:instrText xml:space="preserve"> PAGEREF _Toc513713992 \h </w:instrText>
            </w:r>
            <w:r>
              <w:rPr>
                <w:noProof/>
                <w:webHidden/>
              </w:rPr>
            </w:r>
            <w:r>
              <w:rPr>
                <w:noProof/>
                <w:webHidden/>
              </w:rPr>
              <w:fldChar w:fldCharType="separate"/>
            </w:r>
            <w:r>
              <w:rPr>
                <w:noProof/>
                <w:webHidden/>
              </w:rPr>
              <w:t>45</w:t>
            </w:r>
            <w:r>
              <w:rPr>
                <w:noProof/>
                <w:webHidden/>
              </w:rPr>
              <w:fldChar w:fldCharType="end"/>
            </w:r>
          </w:hyperlink>
        </w:p>
        <w:p w14:paraId="7A15D71D" w14:textId="6900B360" w:rsidR="00E90F29" w:rsidRDefault="00E90F29">
          <w:pPr>
            <w:pStyle w:val="TOC2"/>
            <w:tabs>
              <w:tab w:val="right" w:leader="dot" w:pos="8290"/>
            </w:tabs>
            <w:rPr>
              <w:rFonts w:asciiTheme="minorHAnsi" w:eastAsiaTheme="minorEastAsia" w:hAnsiTheme="minorHAnsi" w:cstheme="minorBidi"/>
              <w:noProof/>
            </w:rPr>
          </w:pPr>
          <w:hyperlink w:anchor="_Toc513713993" w:history="1">
            <w:r w:rsidRPr="00517BB4">
              <w:rPr>
                <w:rStyle w:val="Hyperlink"/>
                <w:noProof/>
              </w:rPr>
              <w:t>3.10 Non-exhaustive list of protected rights</w:t>
            </w:r>
            <w:r>
              <w:rPr>
                <w:noProof/>
                <w:webHidden/>
              </w:rPr>
              <w:tab/>
            </w:r>
            <w:r>
              <w:rPr>
                <w:noProof/>
                <w:webHidden/>
              </w:rPr>
              <w:fldChar w:fldCharType="begin"/>
            </w:r>
            <w:r>
              <w:rPr>
                <w:noProof/>
                <w:webHidden/>
              </w:rPr>
              <w:instrText xml:space="preserve"> PAGEREF _Toc513713993 \h </w:instrText>
            </w:r>
            <w:r>
              <w:rPr>
                <w:noProof/>
                <w:webHidden/>
              </w:rPr>
            </w:r>
            <w:r>
              <w:rPr>
                <w:noProof/>
                <w:webHidden/>
              </w:rPr>
              <w:fldChar w:fldCharType="separate"/>
            </w:r>
            <w:r>
              <w:rPr>
                <w:noProof/>
                <w:webHidden/>
              </w:rPr>
              <w:t>46</w:t>
            </w:r>
            <w:r>
              <w:rPr>
                <w:noProof/>
                <w:webHidden/>
              </w:rPr>
              <w:fldChar w:fldCharType="end"/>
            </w:r>
          </w:hyperlink>
        </w:p>
        <w:p w14:paraId="21B76498" w14:textId="37C6B26E" w:rsidR="00CF7E39" w:rsidRPr="00D17CF9" w:rsidRDefault="00CF7E39" w:rsidP="00D904C1">
          <w:pPr>
            <w:spacing w:line="360" w:lineRule="auto"/>
            <w:jc w:val="both"/>
            <w:rPr>
              <w:rFonts w:ascii="Arial" w:hAnsi="Arial" w:cs="Arial"/>
              <w:sz w:val="22"/>
              <w:szCs w:val="22"/>
              <w:lang w:val="en-GB"/>
            </w:rPr>
          </w:pPr>
          <w:r w:rsidRPr="00D17CF9">
            <w:rPr>
              <w:rFonts w:ascii="Arial" w:hAnsi="Arial" w:cs="Arial"/>
              <w:b/>
              <w:bCs/>
              <w:noProof/>
              <w:sz w:val="22"/>
              <w:szCs w:val="22"/>
              <w:lang w:val="en-GB"/>
            </w:rPr>
            <w:fldChar w:fldCharType="end"/>
          </w:r>
        </w:p>
      </w:sdtContent>
    </w:sdt>
    <w:p w14:paraId="6EAA68A8" w14:textId="77777777" w:rsidR="007B24AF" w:rsidRPr="00D17CF9" w:rsidRDefault="007B24AF" w:rsidP="00D904C1">
      <w:pPr>
        <w:spacing w:line="360" w:lineRule="auto"/>
        <w:jc w:val="both"/>
        <w:rPr>
          <w:rFonts w:ascii="Arial" w:hAnsi="Arial" w:cs="Arial"/>
          <w:b/>
          <w:sz w:val="22"/>
          <w:szCs w:val="22"/>
          <w:lang w:val="en-GB"/>
        </w:rPr>
      </w:pPr>
    </w:p>
    <w:p w14:paraId="1A7DE3C7" w14:textId="77777777" w:rsidR="007B24AF" w:rsidRPr="00D17CF9" w:rsidRDefault="007B24AF" w:rsidP="00D904C1">
      <w:pPr>
        <w:spacing w:line="360" w:lineRule="auto"/>
        <w:jc w:val="both"/>
        <w:rPr>
          <w:rFonts w:ascii="Arial" w:hAnsi="Arial" w:cs="Arial"/>
          <w:b/>
          <w:sz w:val="22"/>
          <w:szCs w:val="22"/>
          <w:lang w:val="en-GB"/>
        </w:rPr>
      </w:pPr>
    </w:p>
    <w:p w14:paraId="5F2D9882" w14:textId="77777777" w:rsidR="00E47E17" w:rsidRPr="00D17CF9" w:rsidRDefault="00E47E17" w:rsidP="00D904C1">
      <w:pPr>
        <w:spacing w:line="360" w:lineRule="auto"/>
        <w:jc w:val="both"/>
        <w:rPr>
          <w:rFonts w:ascii="Arial" w:hAnsi="Arial" w:cs="Arial"/>
          <w:b/>
          <w:sz w:val="22"/>
          <w:szCs w:val="22"/>
          <w:lang w:val="en-GB"/>
        </w:rPr>
      </w:pPr>
    </w:p>
    <w:p w14:paraId="73409980" w14:textId="77777777" w:rsidR="00E47E17" w:rsidRPr="00D17CF9" w:rsidRDefault="00E47E17" w:rsidP="00D904C1">
      <w:pPr>
        <w:spacing w:line="360" w:lineRule="auto"/>
        <w:jc w:val="both"/>
        <w:rPr>
          <w:rFonts w:ascii="Arial" w:hAnsi="Arial" w:cs="Arial"/>
          <w:b/>
          <w:sz w:val="22"/>
          <w:szCs w:val="22"/>
          <w:lang w:val="en-GB"/>
        </w:rPr>
      </w:pPr>
    </w:p>
    <w:p w14:paraId="104DC162" w14:textId="77777777" w:rsidR="00E47E17" w:rsidRPr="00D17CF9" w:rsidRDefault="00E47E17" w:rsidP="00D904C1">
      <w:pPr>
        <w:spacing w:line="360" w:lineRule="auto"/>
        <w:jc w:val="both"/>
        <w:rPr>
          <w:rFonts w:ascii="Arial" w:hAnsi="Arial" w:cs="Arial"/>
          <w:sz w:val="22"/>
          <w:szCs w:val="22"/>
          <w:lang w:val="en-GB"/>
        </w:rPr>
      </w:pPr>
    </w:p>
    <w:p w14:paraId="76AB0EA9" w14:textId="7D97C3EF" w:rsidR="00003923" w:rsidRPr="00D17CF9" w:rsidRDefault="00003923" w:rsidP="00D904C1">
      <w:pPr>
        <w:spacing w:line="360" w:lineRule="auto"/>
        <w:jc w:val="both"/>
        <w:rPr>
          <w:rFonts w:ascii="Arial" w:hAnsi="Arial" w:cs="Arial"/>
          <w:sz w:val="22"/>
          <w:szCs w:val="22"/>
          <w:lang w:val="en-GB"/>
        </w:rPr>
      </w:pPr>
      <w:r w:rsidRPr="00D17CF9">
        <w:rPr>
          <w:rFonts w:ascii="Arial" w:hAnsi="Arial" w:cs="Arial"/>
          <w:sz w:val="22"/>
          <w:szCs w:val="22"/>
          <w:lang w:val="en-GB"/>
        </w:rPr>
        <w:br w:type="page"/>
      </w:r>
    </w:p>
    <w:p w14:paraId="42449E96" w14:textId="77777777" w:rsidR="00105F3C" w:rsidRPr="00E90F29" w:rsidRDefault="00105F3C" w:rsidP="00E90F29">
      <w:pPr>
        <w:spacing w:line="360" w:lineRule="auto"/>
        <w:jc w:val="both"/>
        <w:rPr>
          <w:rFonts w:ascii="Arial" w:hAnsi="Arial" w:cs="Arial"/>
          <w:sz w:val="22"/>
          <w:szCs w:val="22"/>
          <w:lang w:val="en-GB"/>
        </w:rPr>
      </w:pPr>
    </w:p>
    <w:p w14:paraId="0FFF8A3F" w14:textId="492F2F48" w:rsidR="008732C4" w:rsidRPr="00E90F29" w:rsidRDefault="002234EB" w:rsidP="00E90F29">
      <w:pPr>
        <w:pStyle w:val="Heading1"/>
      </w:pPr>
      <w:bookmarkStart w:id="1" w:name="_Toc513713945"/>
      <w:r w:rsidRPr="00E90F29">
        <w:t xml:space="preserve">Mandate of the Panel and Protected </w:t>
      </w:r>
      <w:r w:rsidR="008732C4" w:rsidRPr="00E90F29">
        <w:t xml:space="preserve">Fundamental </w:t>
      </w:r>
      <w:r w:rsidRPr="00E90F29">
        <w:t xml:space="preserve">Rights </w:t>
      </w:r>
      <w:r w:rsidR="007A55BA" w:rsidRPr="00E90F29">
        <w:t>– General considerations</w:t>
      </w:r>
      <w:bookmarkEnd w:id="1"/>
      <w:r w:rsidR="007A55BA" w:rsidRPr="00E90F29">
        <w:t xml:space="preserve"> </w:t>
      </w:r>
    </w:p>
    <w:p w14:paraId="4B580902" w14:textId="74ADEC84" w:rsidR="008F49E9" w:rsidRPr="00E90F29" w:rsidRDefault="008F49E9" w:rsidP="00E90F29">
      <w:p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t>The Council Joint Action</w:t>
      </w:r>
      <w:r w:rsidR="00E967E1" w:rsidRPr="00E90F29">
        <w:rPr>
          <w:rFonts w:ascii="Arial" w:hAnsi="Arial" w:cs="Arial"/>
          <w:sz w:val="22"/>
          <w:szCs w:val="22"/>
          <w:lang w:val="en-GB" w:eastAsia="en-GB"/>
        </w:rPr>
        <w:t xml:space="preserve"> 2008/124/CFSP of 4 February 2008 on the European Union Rule of Law Mission in Kosovo, EULEX KOSOVO</w:t>
      </w:r>
      <w:r w:rsidRPr="00E90F29">
        <w:rPr>
          <w:rFonts w:ascii="Arial" w:hAnsi="Arial" w:cs="Arial"/>
          <w:sz w:val="22"/>
          <w:szCs w:val="22"/>
          <w:lang w:val="en-GB" w:eastAsia="en-GB"/>
        </w:rPr>
        <w:t xml:space="preserve"> is the source of authority and power of the EULEX Mission in Kosovo</w:t>
      </w:r>
      <w:r w:rsidR="00B10486" w:rsidRPr="00E90F29">
        <w:rPr>
          <w:rFonts w:ascii="Arial" w:hAnsi="Arial" w:cs="Arial"/>
          <w:sz w:val="22"/>
          <w:szCs w:val="22"/>
          <w:lang w:val="en-GB" w:eastAsia="en-GB"/>
        </w:rPr>
        <w:t xml:space="preserve"> (hereinafter, “the Mission”)</w:t>
      </w:r>
      <w:r w:rsidRPr="00E90F29">
        <w:rPr>
          <w:rFonts w:ascii="Arial" w:hAnsi="Arial" w:cs="Arial"/>
          <w:sz w:val="22"/>
          <w:szCs w:val="22"/>
          <w:lang w:val="en-GB" w:eastAsia="en-GB"/>
        </w:rPr>
        <w:t xml:space="preserve">. It lays down the mandate of EULEX and, </w:t>
      </w:r>
      <w:r w:rsidRPr="00E90F29">
        <w:rPr>
          <w:rFonts w:ascii="Arial" w:hAnsi="Arial" w:cs="Arial"/>
          <w:i/>
          <w:sz w:val="22"/>
          <w:szCs w:val="22"/>
          <w:lang w:val="en-GB" w:eastAsia="en-GB"/>
        </w:rPr>
        <w:t>inter alia</w:t>
      </w:r>
      <w:r w:rsidRPr="00E90F29">
        <w:rPr>
          <w:rFonts w:ascii="Arial" w:hAnsi="Arial" w:cs="Arial"/>
          <w:sz w:val="22"/>
          <w:szCs w:val="22"/>
          <w:lang w:val="en-GB" w:eastAsia="en-GB"/>
        </w:rPr>
        <w:t xml:space="preserve">, specifies its responsibility to act in compliance with relevant human rights </w:t>
      </w:r>
      <w:r w:rsidRPr="00E90F29">
        <w:rPr>
          <w:rFonts w:ascii="Arial" w:eastAsia="Calibri" w:hAnsi="Arial" w:cs="Arial"/>
          <w:sz w:val="22"/>
          <w:szCs w:val="22"/>
          <w:lang w:val="en-GB" w:eastAsia="en-GB"/>
        </w:rPr>
        <w:t>standards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in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Article</w:t>
      </w:r>
      <w:r w:rsidRPr="00E90F29">
        <w:rPr>
          <w:rFonts w:ascii="Arial" w:hAnsi="Arial" w:cs="Arial"/>
          <w:sz w:val="22"/>
          <w:szCs w:val="22"/>
          <w:lang w:val="en-GB" w:eastAsia="en-GB"/>
        </w:rPr>
        <w:t xml:space="preserve"> 3 (</w:t>
      </w:r>
      <w:proofErr w:type="spellStart"/>
      <w:r w:rsidRPr="00E90F29">
        <w:rPr>
          <w:rFonts w:ascii="Arial" w:eastAsia="Calibri" w:hAnsi="Arial" w:cs="Arial"/>
          <w:sz w:val="22"/>
          <w:szCs w:val="22"/>
          <w:lang w:val="en-GB" w:eastAsia="en-GB"/>
        </w:rPr>
        <w:t>i</w:t>
      </w:r>
      <w:proofErr w:type="spellEnd"/>
      <w:r w:rsidR="008A535C" w:rsidRPr="00E90F29">
        <w:rPr>
          <w:rFonts w:ascii="Arial" w:hAnsi="Arial" w:cs="Arial"/>
          <w:sz w:val="22"/>
          <w:szCs w:val="22"/>
          <w:lang w:val="en-GB" w:eastAsia="en-GB"/>
        </w:rPr>
        <w:t>), requiring it to ensure that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all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its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activities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respect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international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standards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concerning</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human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rights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and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gender</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mainstreaming</w:t>
      </w:r>
      <w:r w:rsidRPr="00E90F29">
        <w:rPr>
          <w:rFonts w:ascii="Arial" w:hAnsi="Arial" w:cs="Arial"/>
          <w:sz w:val="22"/>
          <w:szCs w:val="22"/>
          <w:lang w:val="en-GB" w:eastAsia="en-GB"/>
        </w:rPr>
        <w:t>”.</w:t>
      </w:r>
    </w:p>
    <w:p w14:paraId="3A6186B5" w14:textId="77777777" w:rsidR="008F49E9" w:rsidRPr="00E90F29" w:rsidRDefault="008F49E9" w:rsidP="00E90F29">
      <w:pPr>
        <w:spacing w:line="360" w:lineRule="auto"/>
        <w:jc w:val="both"/>
        <w:rPr>
          <w:rFonts w:ascii="Arial" w:hAnsi="Arial" w:cs="Arial"/>
          <w:sz w:val="22"/>
          <w:szCs w:val="22"/>
          <w:lang w:val="en-GB"/>
        </w:rPr>
      </w:pPr>
    </w:p>
    <w:p w14:paraId="0CDFCE58" w14:textId="00FBC12B" w:rsidR="000273DC" w:rsidRPr="00E90F29" w:rsidRDefault="008F49E9" w:rsidP="00E90F29">
      <w:pPr>
        <w:spacing w:line="360" w:lineRule="auto"/>
        <w:jc w:val="both"/>
        <w:rPr>
          <w:rFonts w:ascii="Arial" w:hAnsi="Arial" w:cs="Arial"/>
          <w:sz w:val="22"/>
          <w:szCs w:val="22"/>
          <w:lang w:val="en-GB" w:eastAsia="en-GB"/>
        </w:rPr>
      </w:pPr>
      <w:r w:rsidRPr="00E90F29">
        <w:rPr>
          <w:rFonts w:ascii="Arial" w:eastAsia="Calibri" w:hAnsi="Arial" w:cs="Arial"/>
          <w:sz w:val="22"/>
          <w:szCs w:val="22"/>
          <w:lang w:val="en-GB" w:eastAsia="en-GB"/>
        </w:rPr>
        <w:t>On</w:t>
      </w:r>
      <w:r w:rsidRPr="00E90F29">
        <w:rPr>
          <w:rFonts w:ascii="Arial" w:hAnsi="Arial" w:cs="Arial"/>
          <w:sz w:val="22"/>
          <w:szCs w:val="22"/>
          <w:lang w:val="en-GB" w:eastAsia="en-GB"/>
        </w:rPr>
        <w:t xml:space="preserve"> 29 </w:t>
      </w:r>
      <w:r w:rsidRPr="00E90F29">
        <w:rPr>
          <w:rFonts w:ascii="Arial" w:eastAsia="Calibri" w:hAnsi="Arial" w:cs="Arial"/>
          <w:sz w:val="22"/>
          <w:szCs w:val="22"/>
          <w:lang w:val="en-GB" w:eastAsia="en-GB"/>
        </w:rPr>
        <w:t>October</w:t>
      </w:r>
      <w:r w:rsidRPr="00E90F29">
        <w:rPr>
          <w:rFonts w:ascii="Arial" w:hAnsi="Arial" w:cs="Arial"/>
          <w:sz w:val="22"/>
          <w:szCs w:val="22"/>
          <w:lang w:val="en-GB" w:eastAsia="en-GB"/>
        </w:rPr>
        <w:t xml:space="preserve"> 2009,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Accountability</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Concept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EULEX</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Kosovo</w:t>
      </w:r>
      <w:r w:rsidRPr="00E90F29">
        <w:rPr>
          <w:rFonts w:ascii="Arial" w:hAnsi="Arial" w:cs="Arial"/>
          <w:sz w:val="22"/>
          <w:szCs w:val="22"/>
          <w:lang w:val="en-GB" w:eastAsia="en-GB"/>
        </w:rPr>
        <w:t xml:space="preserve"> – </w:t>
      </w:r>
      <w:r w:rsidRPr="00E90F29">
        <w:rPr>
          <w:rFonts w:ascii="Arial" w:eastAsia="Calibri" w:hAnsi="Arial" w:cs="Arial"/>
          <w:sz w:val="22"/>
          <w:szCs w:val="22"/>
          <w:lang w:val="en-GB" w:eastAsia="en-GB"/>
        </w:rPr>
        <w:t>Human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Rights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Review</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Panel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was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adopted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This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resulted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in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establishment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of</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Human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Rights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Review</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Panel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as</w:t>
      </w:r>
      <w:r w:rsidRPr="00E90F29">
        <w:rPr>
          <w:rFonts w:ascii="Arial" w:hAnsi="Arial" w:cs="Arial"/>
          <w:sz w:val="22"/>
          <w:szCs w:val="22"/>
          <w:lang w:val="en-GB" w:eastAsia="en-GB"/>
        </w:rPr>
        <w:t xml:space="preserve"> </w:t>
      </w:r>
      <w:r w:rsidR="00E967E1" w:rsidRPr="00E90F29">
        <w:rPr>
          <w:rFonts w:ascii="Arial" w:eastAsia="Calibri" w:hAnsi="Arial" w:cs="Arial"/>
          <w:sz w:val="22"/>
          <w:szCs w:val="22"/>
          <w:lang w:val="en-GB" w:eastAsia="en-GB"/>
        </w:rPr>
        <w:t>a</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human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rights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accountability</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mechanism</w:t>
      </w:r>
      <w:r w:rsidR="00E967E1" w:rsidRPr="00E90F29">
        <w:rPr>
          <w:rFonts w:ascii="Arial" w:eastAsia="Calibri" w:hAnsi="Arial" w:cs="Arial"/>
          <w:sz w:val="22"/>
          <w:szCs w:val="22"/>
          <w:lang w:val="en-GB" w:eastAsia="en-GB"/>
        </w:rPr>
        <w:t xml:space="preserve"> build into but also independent of the Mission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This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was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considered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to</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be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fundamental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requirement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for</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EULEX</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Kosovo</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Rule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of</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Law</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Mission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vested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with</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certain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limited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executive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functions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Such</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external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accountability</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mechanism</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was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intended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to</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complement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overall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accountability</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of</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EULEX</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Kosovo</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provided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by</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Third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Part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Liability</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Insurance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Scheme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and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EULEX</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Internal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Investigation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Unit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which</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were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established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outset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Thus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Accountability</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Concept</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laid</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down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mandate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of</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Panel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to</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review</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complaints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from</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any</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person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other</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than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EULEX</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Kosovo</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personnel</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claiming</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to</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be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the</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victim</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of</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a</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violation</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of</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his</w:t>
      </w:r>
      <w:r w:rsidRPr="00E90F29">
        <w:rPr>
          <w:rFonts w:ascii="Arial" w:hAnsi="Arial" w:cs="Arial"/>
          <w:sz w:val="22"/>
          <w:szCs w:val="22"/>
          <w:lang w:val="en-GB" w:eastAsia="en-GB"/>
        </w:rPr>
        <w:t xml:space="preserve"> </w:t>
      </w:r>
      <w:r w:rsidRPr="00E90F29">
        <w:rPr>
          <w:rFonts w:ascii="Arial" w:eastAsia="Calibri" w:hAnsi="Arial" w:cs="Arial"/>
          <w:sz w:val="22"/>
          <w:szCs w:val="22"/>
          <w:lang w:val="en-GB" w:eastAsia="en-GB"/>
        </w:rPr>
        <w:t>or</w:t>
      </w:r>
      <w:r w:rsidRPr="00E90F29">
        <w:rPr>
          <w:rFonts w:ascii="Arial" w:hAnsi="Arial" w:cs="Arial"/>
          <w:sz w:val="22"/>
          <w:szCs w:val="22"/>
          <w:lang w:val="en-GB" w:eastAsia="en-GB"/>
        </w:rPr>
        <w:t xml:space="preserve"> </w:t>
      </w:r>
      <w:r w:rsidR="000273DC" w:rsidRPr="00E90F29">
        <w:rPr>
          <w:rFonts w:ascii="Arial" w:hAnsi="Arial" w:cs="Arial"/>
          <w:sz w:val="22"/>
          <w:szCs w:val="22"/>
          <w:lang w:val="en-GB" w:eastAsia="en-GB"/>
        </w:rPr>
        <w:t>her human rights by EULEX Kosovo in the conduct of the executive mandate of EULEX Kosovo.</w:t>
      </w:r>
    </w:p>
    <w:p w14:paraId="3235C72E" w14:textId="03BDE498" w:rsidR="008F49E9" w:rsidRPr="00E90F29" w:rsidRDefault="008F49E9" w:rsidP="00E90F29">
      <w:pPr>
        <w:tabs>
          <w:tab w:val="left" w:pos="2197"/>
        </w:tabs>
        <w:spacing w:line="360" w:lineRule="auto"/>
        <w:jc w:val="both"/>
        <w:rPr>
          <w:rFonts w:ascii="Arial" w:hAnsi="Arial" w:cs="Arial"/>
          <w:sz w:val="22"/>
          <w:szCs w:val="22"/>
          <w:lang w:val="en-GB"/>
        </w:rPr>
      </w:pPr>
    </w:p>
    <w:p w14:paraId="1F20C4F8" w14:textId="493A7F63" w:rsidR="00725F15" w:rsidRPr="00E90F29" w:rsidRDefault="008F49E9" w:rsidP="00E90F29">
      <w:pPr>
        <w:spacing w:line="360" w:lineRule="auto"/>
        <w:jc w:val="both"/>
        <w:rPr>
          <w:rFonts w:ascii="Arial" w:hAnsi="Arial" w:cs="Arial"/>
          <w:sz w:val="22"/>
          <w:szCs w:val="22"/>
          <w:lang w:val="en-GB"/>
        </w:rPr>
      </w:pPr>
      <w:r w:rsidRPr="00E90F29">
        <w:rPr>
          <w:rFonts w:ascii="Arial" w:eastAsia="Calibri" w:hAnsi="Arial" w:cs="Arial"/>
          <w:sz w:val="22"/>
          <w:szCs w:val="22"/>
          <w:lang w:val="en-GB"/>
        </w:rPr>
        <w:t>In</w:t>
      </w:r>
      <w:r w:rsidRPr="00E90F29">
        <w:rPr>
          <w:rFonts w:ascii="Arial" w:hAnsi="Arial" w:cs="Arial"/>
          <w:sz w:val="22"/>
          <w:szCs w:val="22"/>
          <w:lang w:val="en-GB"/>
        </w:rPr>
        <w:t xml:space="preserve"> </w:t>
      </w:r>
      <w:r w:rsidRPr="00E90F29">
        <w:rPr>
          <w:rFonts w:ascii="Arial" w:eastAsia="Calibri" w:hAnsi="Arial" w:cs="Arial"/>
          <w:sz w:val="22"/>
          <w:szCs w:val="22"/>
          <w:lang w:val="en-GB"/>
        </w:rPr>
        <w:t>sum</w:t>
      </w:r>
      <w:r w:rsidRPr="00E90F29">
        <w:rPr>
          <w:rFonts w:ascii="Arial" w:hAnsi="Arial" w:cs="Arial"/>
          <w:sz w:val="22"/>
          <w:szCs w:val="22"/>
          <w:lang w:val="en-GB"/>
        </w:rPr>
        <w:t xml:space="preserve">, </w:t>
      </w:r>
      <w:r w:rsidRPr="00E90F29">
        <w:rPr>
          <w:rFonts w:ascii="Arial" w:eastAsia="Calibri" w:hAnsi="Arial" w:cs="Arial"/>
          <w:sz w:val="22"/>
          <w:szCs w:val="22"/>
          <w:lang w:val="en-GB"/>
        </w:rPr>
        <w:t>t</w:t>
      </w:r>
      <w:r w:rsidR="00725F15" w:rsidRPr="00E90F29">
        <w:rPr>
          <w:rFonts w:ascii="Arial" w:eastAsia="Calibri" w:hAnsi="Arial" w:cs="Arial"/>
          <w:sz w:val="22"/>
          <w:szCs w:val="22"/>
          <w:lang w:val="en-GB"/>
        </w:rPr>
        <w:t>he</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Panel</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was</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created</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as</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a</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way</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to</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ensure</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that</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EULEX</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Kosovo</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would</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operate</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within</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the</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framework</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of</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its</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executive</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mandate</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in</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a</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manner</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consistent</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with</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general</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standards</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of</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human</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rights</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recognised</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under</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international</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law</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These</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standards</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reflect</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minimum</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standards</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for</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the</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protection</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of</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human</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rights</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to</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be</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guaranteed</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by</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public</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authorities</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in</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all</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democratic</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legal</w:t>
      </w:r>
      <w:r w:rsidR="00725F15" w:rsidRPr="00E90F29">
        <w:rPr>
          <w:rFonts w:ascii="Arial" w:hAnsi="Arial" w:cs="Arial"/>
          <w:sz w:val="22"/>
          <w:szCs w:val="22"/>
          <w:lang w:val="en-GB"/>
        </w:rPr>
        <w:t xml:space="preserve"> </w:t>
      </w:r>
      <w:r w:rsidR="00725F15" w:rsidRPr="00E90F29">
        <w:rPr>
          <w:rFonts w:ascii="Arial" w:eastAsia="Calibri" w:hAnsi="Arial" w:cs="Arial"/>
          <w:sz w:val="22"/>
          <w:szCs w:val="22"/>
          <w:lang w:val="en-GB"/>
        </w:rPr>
        <w:t>systems</w:t>
      </w:r>
      <w:r w:rsidR="00725F15" w:rsidRPr="00E90F29">
        <w:rPr>
          <w:rFonts w:ascii="Arial" w:hAnsi="Arial" w:cs="Arial"/>
          <w:sz w:val="22"/>
          <w:szCs w:val="22"/>
          <w:lang w:val="en-GB"/>
        </w:rPr>
        <w:t>.</w:t>
      </w:r>
      <w:r w:rsidR="00725F15" w:rsidRPr="00E90F29">
        <w:rPr>
          <w:rStyle w:val="FootnoteReference"/>
          <w:rFonts w:ascii="Arial" w:hAnsi="Arial" w:cs="Arial"/>
          <w:sz w:val="22"/>
          <w:szCs w:val="22"/>
          <w:lang w:val="en-GB"/>
        </w:rPr>
        <w:footnoteReference w:id="1"/>
      </w:r>
      <w:r w:rsidR="00B10486" w:rsidRPr="00E90F29">
        <w:rPr>
          <w:rFonts w:ascii="Arial" w:hAnsi="Arial" w:cs="Arial"/>
          <w:sz w:val="22"/>
          <w:szCs w:val="22"/>
          <w:lang w:val="en-GB"/>
        </w:rPr>
        <w:t xml:space="preserve"> They normally to and are relevant to states and their organs, rather than non-sovereign legal entities such as a rule of law mission. </w:t>
      </w:r>
    </w:p>
    <w:p w14:paraId="404B01E9" w14:textId="77777777" w:rsidR="00725F15" w:rsidRPr="00E90F29" w:rsidRDefault="00725F15" w:rsidP="00E90F29">
      <w:pPr>
        <w:spacing w:line="360" w:lineRule="auto"/>
        <w:jc w:val="both"/>
        <w:rPr>
          <w:rFonts w:ascii="Arial" w:hAnsi="Arial" w:cs="Arial"/>
          <w:sz w:val="22"/>
          <w:szCs w:val="22"/>
          <w:lang w:val="en-GB"/>
        </w:rPr>
      </w:pPr>
    </w:p>
    <w:p w14:paraId="0A189B50" w14:textId="6FBD5F67" w:rsidR="00725F15" w:rsidRPr="00E90F29" w:rsidRDefault="008931EC" w:rsidP="00E90F29">
      <w:pPr>
        <w:spacing w:line="360" w:lineRule="auto"/>
        <w:jc w:val="both"/>
        <w:rPr>
          <w:rFonts w:ascii="Arial" w:hAnsi="Arial" w:cs="Arial"/>
          <w:sz w:val="22"/>
          <w:szCs w:val="22"/>
          <w:lang w:val="en-GB"/>
        </w:rPr>
      </w:pPr>
      <w:r w:rsidRPr="00E90F29">
        <w:rPr>
          <w:rFonts w:ascii="Arial" w:eastAsia="Calibri" w:hAnsi="Arial" w:cs="Arial"/>
          <w:bCs/>
          <w:color w:val="000000" w:themeColor="text1"/>
          <w:sz w:val="22"/>
          <w:szCs w:val="22"/>
          <w:lang w:val="en-GB"/>
        </w:rPr>
        <w:t>As</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a</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matter</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of</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substantive</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law</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the</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Panel</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is</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empowered</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to</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apply</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human</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rights</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instruments</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as</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reflected</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in</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the</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EULEX</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Accountability</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Concept</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of</w:t>
      </w:r>
      <w:r w:rsidRPr="00E90F29">
        <w:rPr>
          <w:rFonts w:ascii="Arial" w:hAnsi="Arial" w:cs="Arial"/>
          <w:bCs/>
          <w:color w:val="000000" w:themeColor="text1"/>
          <w:sz w:val="22"/>
          <w:szCs w:val="22"/>
          <w:lang w:val="en-GB"/>
        </w:rPr>
        <w:t xml:space="preserve"> 29 </w:t>
      </w:r>
      <w:r w:rsidRPr="00E90F29">
        <w:rPr>
          <w:rFonts w:ascii="Arial" w:eastAsia="Calibri" w:hAnsi="Arial" w:cs="Arial"/>
          <w:bCs/>
          <w:color w:val="000000" w:themeColor="text1"/>
          <w:sz w:val="22"/>
          <w:szCs w:val="22"/>
          <w:lang w:val="en-GB"/>
        </w:rPr>
        <w:t>October</w:t>
      </w:r>
      <w:r w:rsidRPr="00E90F29">
        <w:rPr>
          <w:rFonts w:ascii="Arial" w:hAnsi="Arial" w:cs="Arial"/>
          <w:bCs/>
          <w:color w:val="000000" w:themeColor="text1"/>
          <w:sz w:val="22"/>
          <w:szCs w:val="22"/>
          <w:lang w:val="en-GB"/>
        </w:rPr>
        <w:t xml:space="preserve"> 2009 </w:t>
      </w:r>
      <w:r w:rsidRPr="00E90F29">
        <w:rPr>
          <w:rFonts w:ascii="Arial" w:eastAsia="Calibri" w:hAnsi="Arial" w:cs="Arial"/>
          <w:bCs/>
          <w:color w:val="000000" w:themeColor="text1"/>
          <w:sz w:val="22"/>
          <w:szCs w:val="22"/>
          <w:lang w:val="en-GB"/>
        </w:rPr>
        <w:t>on</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the</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establishment</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of</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the</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Human</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Rights</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Review</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Panel</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Of</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particular</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importance</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to</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the</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work</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of</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the</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Panel</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are</w:t>
      </w:r>
      <w:r w:rsidRPr="00E90F29">
        <w:rPr>
          <w:rFonts w:ascii="Arial" w:hAnsi="Arial" w:cs="Arial"/>
          <w:bCs/>
          <w:color w:val="000000" w:themeColor="text1"/>
          <w:sz w:val="22"/>
          <w:szCs w:val="22"/>
          <w:lang w:val="en-GB"/>
        </w:rPr>
        <w:t xml:space="preserve"> </w:t>
      </w:r>
      <w:r w:rsidRPr="00E90F29">
        <w:rPr>
          <w:rFonts w:ascii="Arial" w:eastAsia="Calibri" w:hAnsi="Arial" w:cs="Arial"/>
          <w:bCs/>
          <w:color w:val="000000" w:themeColor="text1"/>
          <w:sz w:val="22"/>
          <w:szCs w:val="22"/>
          <w:lang w:val="en-GB"/>
        </w:rPr>
        <w:t>the</w:t>
      </w:r>
      <w:r w:rsidRPr="00E90F29">
        <w:rPr>
          <w:rFonts w:ascii="Arial" w:hAnsi="Arial" w:cs="Arial"/>
          <w:bCs/>
          <w:color w:val="000000" w:themeColor="text1"/>
          <w:sz w:val="22"/>
          <w:szCs w:val="22"/>
          <w:lang w:val="en-GB"/>
        </w:rPr>
        <w:t xml:space="preserve"> European Convention on the Protection of Human Rights </w:t>
      </w:r>
      <w:r w:rsidRPr="00E90F29">
        <w:rPr>
          <w:rFonts w:ascii="Arial" w:hAnsi="Arial" w:cs="Arial"/>
          <w:bCs/>
          <w:color w:val="000000" w:themeColor="text1"/>
          <w:sz w:val="22"/>
          <w:szCs w:val="22"/>
          <w:lang w:val="en-GB"/>
        </w:rPr>
        <w:lastRenderedPageBreak/>
        <w:t>and Fundamental Freedoms, (the Convention) and the International Covenant on Civil and Political Rights</w:t>
      </w:r>
      <w:r w:rsidR="00B10486" w:rsidRPr="00E90F29">
        <w:rPr>
          <w:rFonts w:ascii="Arial" w:hAnsi="Arial" w:cs="Arial"/>
          <w:bCs/>
          <w:color w:val="000000" w:themeColor="text1"/>
          <w:sz w:val="22"/>
          <w:szCs w:val="22"/>
          <w:lang w:val="en-GB"/>
        </w:rPr>
        <w:t>,</w:t>
      </w:r>
      <w:r w:rsidRPr="00E90F29">
        <w:rPr>
          <w:rFonts w:ascii="Arial" w:hAnsi="Arial" w:cs="Arial"/>
          <w:bCs/>
          <w:color w:val="000000" w:themeColor="text1"/>
          <w:sz w:val="22"/>
          <w:szCs w:val="22"/>
          <w:lang w:val="en-GB"/>
        </w:rPr>
        <w:t xml:space="preserve"> which set out minimum standards for the protection of the human rights to be guaranteed by public authorities in all democratic legal systems.</w:t>
      </w:r>
      <w:r w:rsidRPr="00E90F29">
        <w:rPr>
          <w:rStyle w:val="FootnoteReference"/>
          <w:rFonts w:ascii="Arial" w:hAnsi="Arial" w:cs="Arial"/>
          <w:bCs/>
          <w:color w:val="000000" w:themeColor="text1"/>
          <w:sz w:val="22"/>
          <w:szCs w:val="22"/>
          <w:lang w:val="en-GB"/>
        </w:rPr>
        <w:footnoteReference w:id="2"/>
      </w:r>
      <w:r w:rsidRPr="00E90F29">
        <w:rPr>
          <w:rFonts w:ascii="Arial" w:hAnsi="Arial" w:cs="Arial"/>
          <w:sz w:val="22"/>
          <w:szCs w:val="22"/>
          <w:lang w:val="en-GB"/>
        </w:rPr>
        <w:t xml:space="preserve"> These rights </w:t>
      </w:r>
      <w:r w:rsidR="00DF50EE" w:rsidRPr="00E90F29">
        <w:rPr>
          <w:rFonts w:ascii="Arial" w:hAnsi="Arial" w:cs="Arial"/>
          <w:sz w:val="22"/>
          <w:szCs w:val="22"/>
          <w:lang w:val="en-GB"/>
        </w:rPr>
        <w:t>form a core set of fundamental rights recognised by</w:t>
      </w:r>
      <w:r w:rsidR="00B10486" w:rsidRPr="00E90F29">
        <w:rPr>
          <w:rFonts w:ascii="Arial" w:hAnsi="Arial" w:cs="Arial"/>
          <w:sz w:val="22"/>
          <w:szCs w:val="22"/>
          <w:lang w:val="en-GB"/>
        </w:rPr>
        <w:t xml:space="preserve"> general</w:t>
      </w:r>
      <w:r w:rsidR="00DF50EE" w:rsidRPr="00E90F29">
        <w:rPr>
          <w:rFonts w:ascii="Arial" w:hAnsi="Arial" w:cs="Arial"/>
          <w:sz w:val="22"/>
          <w:szCs w:val="22"/>
          <w:lang w:val="en-GB"/>
        </w:rPr>
        <w:t xml:space="preserve"> international </w:t>
      </w:r>
      <w:r w:rsidR="00725F15" w:rsidRPr="00E90F29">
        <w:rPr>
          <w:rFonts w:ascii="Arial" w:hAnsi="Arial" w:cs="Arial"/>
          <w:sz w:val="22"/>
          <w:szCs w:val="22"/>
          <w:lang w:val="en-GB"/>
        </w:rPr>
        <w:t xml:space="preserve">law. </w:t>
      </w:r>
      <w:r w:rsidR="00B10486" w:rsidRPr="00E90F29">
        <w:rPr>
          <w:rFonts w:ascii="Arial" w:hAnsi="Arial" w:cs="Arial"/>
          <w:sz w:val="22"/>
          <w:szCs w:val="22"/>
          <w:lang w:val="en-GB"/>
        </w:rPr>
        <w:t xml:space="preserve">These are relevant to the work of the Panel and set out the minimum standards of human right protection relevant to the fulfilment of its mandate. </w:t>
      </w:r>
    </w:p>
    <w:p w14:paraId="590E6D68" w14:textId="77777777" w:rsidR="00725F15" w:rsidRPr="00E90F29" w:rsidRDefault="00725F15" w:rsidP="00E90F29">
      <w:pPr>
        <w:spacing w:line="360" w:lineRule="auto"/>
        <w:jc w:val="both"/>
        <w:rPr>
          <w:rFonts w:ascii="Arial" w:hAnsi="Arial" w:cs="Arial"/>
          <w:sz w:val="22"/>
          <w:szCs w:val="22"/>
          <w:lang w:val="en-GB"/>
        </w:rPr>
      </w:pPr>
    </w:p>
    <w:p w14:paraId="2EFABA3D" w14:textId="32CD936E" w:rsidR="00725F15" w:rsidRPr="00E90F29" w:rsidRDefault="00725F15"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obligation of the Mission to comply with </w:t>
      </w:r>
      <w:r w:rsidR="00B10486" w:rsidRPr="00E90F29">
        <w:rPr>
          <w:rFonts w:ascii="Arial" w:hAnsi="Arial" w:cs="Arial"/>
          <w:sz w:val="22"/>
          <w:szCs w:val="22"/>
          <w:lang w:val="en-GB"/>
        </w:rPr>
        <w:t xml:space="preserve">international </w:t>
      </w:r>
      <w:r w:rsidRPr="00E90F29">
        <w:rPr>
          <w:rFonts w:ascii="Arial" w:hAnsi="Arial" w:cs="Arial"/>
          <w:sz w:val="22"/>
          <w:szCs w:val="22"/>
          <w:lang w:val="en-GB"/>
        </w:rPr>
        <w:t>human rights</w:t>
      </w:r>
      <w:r w:rsidR="00B10486" w:rsidRPr="00E90F29">
        <w:rPr>
          <w:rFonts w:ascii="Arial" w:hAnsi="Arial" w:cs="Arial"/>
          <w:sz w:val="22"/>
          <w:szCs w:val="22"/>
          <w:lang w:val="en-GB"/>
        </w:rPr>
        <w:t xml:space="preserve"> standards</w:t>
      </w:r>
      <w:r w:rsidRPr="00E90F29">
        <w:rPr>
          <w:rFonts w:ascii="Arial" w:hAnsi="Arial" w:cs="Arial"/>
          <w:sz w:val="22"/>
          <w:szCs w:val="22"/>
          <w:lang w:val="en-GB"/>
        </w:rPr>
        <w:t xml:space="preserve"> and, therefore, the competence of the Panel to review the conduct of the Mission</w:t>
      </w:r>
      <w:r w:rsidR="00B10486" w:rsidRPr="00E90F29">
        <w:rPr>
          <w:rFonts w:ascii="Arial" w:hAnsi="Arial" w:cs="Arial"/>
          <w:sz w:val="22"/>
          <w:szCs w:val="22"/>
          <w:lang w:val="en-GB"/>
        </w:rPr>
        <w:t xml:space="preserve"> in relation to those</w:t>
      </w:r>
      <w:r w:rsidRPr="00E90F29">
        <w:rPr>
          <w:rFonts w:ascii="Arial" w:hAnsi="Arial" w:cs="Arial"/>
          <w:sz w:val="22"/>
          <w:szCs w:val="22"/>
          <w:lang w:val="en-GB"/>
        </w:rPr>
        <w:t xml:space="preserve">, is not restricted in principle to any particular set of human rights. Instead, each and all of the rights guaranteed under any of the </w:t>
      </w:r>
      <w:r w:rsidR="00B10486" w:rsidRPr="00E90F29">
        <w:rPr>
          <w:rFonts w:ascii="Arial" w:hAnsi="Arial" w:cs="Arial"/>
          <w:sz w:val="22"/>
          <w:szCs w:val="22"/>
          <w:lang w:val="en-GB"/>
        </w:rPr>
        <w:t>applicable</w:t>
      </w:r>
      <w:r w:rsidRPr="00E90F29">
        <w:rPr>
          <w:rFonts w:ascii="Arial" w:hAnsi="Arial" w:cs="Arial"/>
          <w:sz w:val="22"/>
          <w:szCs w:val="22"/>
          <w:lang w:val="en-GB"/>
        </w:rPr>
        <w:t xml:space="preserve"> instruments </w:t>
      </w:r>
      <w:r w:rsidR="00B10486" w:rsidRPr="00E90F29">
        <w:rPr>
          <w:rFonts w:ascii="Arial" w:hAnsi="Arial" w:cs="Arial"/>
          <w:sz w:val="22"/>
          <w:szCs w:val="22"/>
          <w:lang w:val="en-GB"/>
        </w:rPr>
        <w:t xml:space="preserve">(see below) </w:t>
      </w:r>
      <w:r w:rsidRPr="00E90F29">
        <w:rPr>
          <w:rFonts w:ascii="Arial" w:hAnsi="Arial" w:cs="Arial"/>
          <w:sz w:val="22"/>
          <w:szCs w:val="22"/>
          <w:lang w:val="en-GB"/>
        </w:rPr>
        <w:t xml:space="preserve">could potentially be a matter of concern to the Panel. </w:t>
      </w:r>
    </w:p>
    <w:p w14:paraId="77769DFE" w14:textId="77777777" w:rsidR="00725F15" w:rsidRPr="00E90F29" w:rsidRDefault="00725F15" w:rsidP="00E90F29">
      <w:pPr>
        <w:spacing w:line="360" w:lineRule="auto"/>
        <w:jc w:val="both"/>
        <w:rPr>
          <w:rFonts w:ascii="Arial" w:hAnsi="Arial" w:cs="Arial"/>
          <w:sz w:val="22"/>
          <w:szCs w:val="22"/>
          <w:lang w:val="en-GB"/>
        </w:rPr>
      </w:pPr>
    </w:p>
    <w:p w14:paraId="5D313905" w14:textId="2D4ABBB0" w:rsidR="00725F15" w:rsidRPr="00E90F29" w:rsidRDefault="00725F15" w:rsidP="00E90F29">
      <w:pPr>
        <w:spacing w:line="360" w:lineRule="auto"/>
        <w:jc w:val="both"/>
        <w:rPr>
          <w:rFonts w:ascii="Arial" w:hAnsi="Arial" w:cs="Arial"/>
          <w:sz w:val="22"/>
          <w:szCs w:val="22"/>
          <w:lang w:val="en-GB"/>
        </w:rPr>
      </w:pPr>
      <w:r w:rsidRPr="00E90F29">
        <w:rPr>
          <w:rFonts w:ascii="Arial" w:hAnsi="Arial" w:cs="Arial"/>
          <w:sz w:val="22"/>
          <w:szCs w:val="22"/>
          <w:lang w:val="en-GB"/>
        </w:rPr>
        <w:t>However, these rights are of concern to the Panel only if and when they are said to have been violated by the Mission in the conduct of its executive mandate in the justice, police and customs sectors.</w:t>
      </w:r>
      <w:r w:rsidR="00B10486" w:rsidRPr="00E90F29">
        <w:rPr>
          <w:rFonts w:ascii="Arial" w:hAnsi="Arial" w:cs="Arial"/>
          <w:sz w:val="22"/>
          <w:szCs w:val="22"/>
          <w:lang w:val="en-GB"/>
        </w:rPr>
        <w:t xml:space="preserve"> Outside that framework, the Panel has no competence to evaluate the Mission’s compliance with internationally recognised standards of human rights. </w:t>
      </w:r>
    </w:p>
    <w:p w14:paraId="7DBDF23E" w14:textId="77777777" w:rsidR="00725F15" w:rsidRPr="00E90F29" w:rsidRDefault="00725F15" w:rsidP="00E90F29">
      <w:pPr>
        <w:spacing w:line="360" w:lineRule="auto"/>
        <w:jc w:val="both"/>
        <w:rPr>
          <w:rFonts w:ascii="Arial" w:hAnsi="Arial" w:cs="Arial"/>
          <w:sz w:val="22"/>
          <w:szCs w:val="22"/>
          <w:lang w:val="en-GB"/>
        </w:rPr>
      </w:pPr>
    </w:p>
    <w:p w14:paraId="023E89F0" w14:textId="36B7DF48" w:rsidR="008732C4" w:rsidRPr="00E90F29" w:rsidRDefault="008732C4" w:rsidP="00E90F29">
      <w:pPr>
        <w:spacing w:line="360" w:lineRule="auto"/>
        <w:jc w:val="both"/>
        <w:rPr>
          <w:rFonts w:ascii="Arial" w:hAnsi="Arial" w:cs="Arial"/>
          <w:sz w:val="22"/>
          <w:szCs w:val="22"/>
          <w:lang w:val="en-GB"/>
        </w:rPr>
      </w:pPr>
    </w:p>
    <w:p w14:paraId="47D44422" w14:textId="44661AC7" w:rsidR="002234EB" w:rsidRPr="00E90F29" w:rsidRDefault="008732C4" w:rsidP="00E90F29">
      <w:pPr>
        <w:pStyle w:val="Heading1"/>
      </w:pPr>
      <w:bookmarkStart w:id="2" w:name="_Toc513713946"/>
      <w:r w:rsidRPr="00E90F29">
        <w:t xml:space="preserve">Applicable Legal </w:t>
      </w:r>
      <w:r w:rsidR="003C1B73" w:rsidRPr="00E90F29">
        <w:t xml:space="preserve">Norms and Relevant </w:t>
      </w:r>
      <w:r w:rsidRPr="00E90F29">
        <w:t>S</w:t>
      </w:r>
      <w:r w:rsidR="002234EB" w:rsidRPr="00E90F29">
        <w:t>tandards</w:t>
      </w:r>
      <w:bookmarkEnd w:id="2"/>
      <w:r w:rsidR="002234EB" w:rsidRPr="00E90F29">
        <w:t xml:space="preserve"> </w:t>
      </w:r>
    </w:p>
    <w:p w14:paraId="626674C3" w14:textId="77777777" w:rsidR="003C1B73" w:rsidRPr="00E90F29" w:rsidRDefault="003C1B73" w:rsidP="00E90F29">
      <w:pPr>
        <w:pStyle w:val="Heading2"/>
      </w:pPr>
      <w:bookmarkStart w:id="3" w:name="_Toc513713947"/>
      <w:r w:rsidRPr="00E90F29">
        <w:t>2.1 Applicable norms</w:t>
      </w:r>
      <w:bookmarkEnd w:id="3"/>
      <w:r w:rsidRPr="00E90F29">
        <w:t xml:space="preserve"> </w:t>
      </w:r>
    </w:p>
    <w:p w14:paraId="785CEBCA" w14:textId="0F9A4525" w:rsidR="000273DC" w:rsidRPr="00E90F29" w:rsidRDefault="000273DC" w:rsidP="00E90F29">
      <w:p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t xml:space="preserve">In accordance with the provisions of the Accountability Concept, the Panel may consider complaints pertaining to alleged breaches of, among others, the following human rights instruments: </w:t>
      </w:r>
    </w:p>
    <w:p w14:paraId="543F6F3D" w14:textId="4A0FB953" w:rsidR="000273DC" w:rsidRPr="00E90F29" w:rsidRDefault="000273DC" w:rsidP="00E90F29">
      <w:pPr>
        <w:pStyle w:val="ListParagraph"/>
        <w:numPr>
          <w:ilvl w:val="0"/>
          <w:numId w:val="26"/>
        </w:num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t xml:space="preserve">The Universal Declaration on Human Rights (1948) </w:t>
      </w:r>
    </w:p>
    <w:p w14:paraId="051FB4E7" w14:textId="468B4A04" w:rsidR="000273DC" w:rsidRPr="00E90F29" w:rsidRDefault="000273DC" w:rsidP="00E90F29">
      <w:pPr>
        <w:pStyle w:val="ListParagraph"/>
        <w:numPr>
          <w:ilvl w:val="0"/>
          <w:numId w:val="26"/>
        </w:num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t xml:space="preserve">The European Convention for the Protection of Human Rights and Fundamental Freedoms (the Convention, 1950) </w:t>
      </w:r>
    </w:p>
    <w:p w14:paraId="3CC70218" w14:textId="60ADE749" w:rsidR="000273DC" w:rsidRPr="00E90F29" w:rsidRDefault="000273DC" w:rsidP="00E90F29">
      <w:pPr>
        <w:pStyle w:val="ListParagraph"/>
        <w:numPr>
          <w:ilvl w:val="0"/>
          <w:numId w:val="26"/>
        </w:num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t xml:space="preserve">The Convention on the Elimination of All Forms of Racial Discrimination (CERD, 1965) </w:t>
      </w:r>
    </w:p>
    <w:p w14:paraId="4B62BF1B" w14:textId="31E2365B" w:rsidR="000273DC" w:rsidRPr="00E90F29" w:rsidRDefault="000273DC" w:rsidP="00E90F29">
      <w:pPr>
        <w:pStyle w:val="ListParagraph"/>
        <w:numPr>
          <w:ilvl w:val="0"/>
          <w:numId w:val="26"/>
        </w:num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t xml:space="preserve">The International Covenant on Civil and Political Rights (CCPR, 1966) </w:t>
      </w:r>
    </w:p>
    <w:p w14:paraId="29740092" w14:textId="361C87E4" w:rsidR="000273DC" w:rsidRPr="00E90F29" w:rsidRDefault="000273DC" w:rsidP="00E90F29">
      <w:pPr>
        <w:pStyle w:val="ListParagraph"/>
        <w:numPr>
          <w:ilvl w:val="0"/>
          <w:numId w:val="26"/>
        </w:num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t xml:space="preserve">The International Covenant on Economic, Social and Cultural Rights (CESCR, 1966) </w:t>
      </w:r>
    </w:p>
    <w:p w14:paraId="03A85CCA" w14:textId="46248079" w:rsidR="000273DC" w:rsidRPr="00E90F29" w:rsidRDefault="000273DC" w:rsidP="00E90F29">
      <w:pPr>
        <w:pStyle w:val="ListParagraph"/>
        <w:numPr>
          <w:ilvl w:val="0"/>
          <w:numId w:val="26"/>
        </w:num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t xml:space="preserve">The Convention on Elimination of All Forms of Discrimination Against Women (CEDAW, 1979) </w:t>
      </w:r>
    </w:p>
    <w:p w14:paraId="08BB3209" w14:textId="4273DD02" w:rsidR="000273DC" w:rsidRPr="00E90F29" w:rsidRDefault="000273DC" w:rsidP="00E90F29">
      <w:pPr>
        <w:pStyle w:val="ListParagraph"/>
        <w:numPr>
          <w:ilvl w:val="0"/>
          <w:numId w:val="26"/>
        </w:num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lastRenderedPageBreak/>
        <w:t xml:space="preserve">The Convention Against Torture and Other Cruel, Inhumane or Degrading Treatment or Punishment (CAT, 1984) </w:t>
      </w:r>
    </w:p>
    <w:p w14:paraId="267FDAEA" w14:textId="71E83D49" w:rsidR="000273DC" w:rsidRPr="00E90F29" w:rsidRDefault="000273DC" w:rsidP="00E90F29">
      <w:pPr>
        <w:pStyle w:val="ListParagraph"/>
        <w:numPr>
          <w:ilvl w:val="0"/>
          <w:numId w:val="26"/>
        </w:numPr>
        <w:spacing w:line="360" w:lineRule="auto"/>
        <w:jc w:val="both"/>
        <w:rPr>
          <w:rFonts w:ascii="Arial" w:hAnsi="Arial" w:cs="Arial"/>
          <w:sz w:val="22"/>
          <w:szCs w:val="22"/>
          <w:lang w:val="en-GB" w:eastAsia="en-GB"/>
        </w:rPr>
      </w:pPr>
      <w:r w:rsidRPr="00E90F29">
        <w:rPr>
          <w:rFonts w:ascii="Arial" w:hAnsi="Arial" w:cs="Arial"/>
          <w:sz w:val="22"/>
          <w:szCs w:val="22"/>
          <w:lang w:val="en-GB" w:eastAsia="en-GB"/>
        </w:rPr>
        <w:t xml:space="preserve">The International Convention on the Rights of the Child (CRC, 1989). </w:t>
      </w:r>
    </w:p>
    <w:p w14:paraId="68758A18" w14:textId="77777777" w:rsidR="008732C4" w:rsidRPr="00E90F29" w:rsidRDefault="008732C4" w:rsidP="00E90F29">
      <w:pPr>
        <w:spacing w:line="360" w:lineRule="auto"/>
        <w:jc w:val="both"/>
        <w:rPr>
          <w:rFonts w:ascii="Arial" w:hAnsi="Arial" w:cs="Arial"/>
          <w:sz w:val="22"/>
          <w:szCs w:val="22"/>
          <w:lang w:val="en-GB"/>
        </w:rPr>
      </w:pPr>
    </w:p>
    <w:p w14:paraId="4FD1CD71" w14:textId="77777777" w:rsidR="003C1B73" w:rsidRPr="00E90F29" w:rsidRDefault="003C1B73" w:rsidP="00E90F29">
      <w:pPr>
        <w:spacing w:line="360" w:lineRule="auto"/>
        <w:jc w:val="both"/>
        <w:rPr>
          <w:rFonts w:ascii="Arial" w:hAnsi="Arial" w:cs="Arial"/>
          <w:sz w:val="22"/>
          <w:szCs w:val="22"/>
          <w:lang w:val="en-GB"/>
        </w:rPr>
      </w:pPr>
    </w:p>
    <w:p w14:paraId="54818A57" w14:textId="1047D215" w:rsidR="00856551" w:rsidRPr="00E90F29" w:rsidRDefault="009F24ED" w:rsidP="00E90F29">
      <w:pPr>
        <w:pStyle w:val="Heading2"/>
      </w:pPr>
      <w:bookmarkStart w:id="4" w:name="_Toc513713948"/>
      <w:r w:rsidRPr="00E90F29">
        <w:t>2.2 The Panel’s h</w:t>
      </w:r>
      <w:r w:rsidR="00856551" w:rsidRPr="00E90F29">
        <w:t>eavy focus on the ECHR</w:t>
      </w:r>
      <w:bookmarkEnd w:id="4"/>
      <w:r w:rsidR="00856551" w:rsidRPr="00E90F29">
        <w:t xml:space="preserve"> </w:t>
      </w:r>
    </w:p>
    <w:p w14:paraId="238ED3FA" w14:textId="4CCA5055" w:rsidR="008732C4" w:rsidRPr="00E90F29" w:rsidRDefault="007C54CD"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In its decisions, the Panel has relied heavily on the European Convention of Human Rights and the caselaw of the European Court of Human Rights. Much less so on other human rights instruments. There are a number of reasons for the </w:t>
      </w:r>
      <w:r w:rsidRPr="00E90F29">
        <w:rPr>
          <w:rFonts w:ascii="Arial" w:hAnsi="Arial" w:cs="Arial"/>
          <w:i/>
          <w:sz w:val="22"/>
          <w:szCs w:val="22"/>
          <w:lang w:val="en-GB"/>
        </w:rPr>
        <w:t>ECHR-centrism</w:t>
      </w:r>
      <w:r w:rsidRPr="00E90F29">
        <w:rPr>
          <w:rFonts w:ascii="Arial" w:hAnsi="Arial" w:cs="Arial"/>
          <w:sz w:val="22"/>
          <w:szCs w:val="22"/>
          <w:lang w:val="en-GB"/>
        </w:rPr>
        <w:t xml:space="preserve"> of the Panel. </w:t>
      </w:r>
      <w:r w:rsidR="008A0FEF" w:rsidRPr="00E90F29">
        <w:rPr>
          <w:rFonts w:ascii="Arial" w:hAnsi="Arial" w:cs="Arial"/>
          <w:sz w:val="22"/>
          <w:szCs w:val="22"/>
          <w:lang w:val="en-GB"/>
        </w:rPr>
        <w:t xml:space="preserve">First, as a European </w:t>
      </w:r>
      <w:r w:rsidR="009C44BE" w:rsidRPr="00E90F29">
        <w:rPr>
          <w:rFonts w:ascii="Arial" w:hAnsi="Arial" w:cs="Arial"/>
          <w:sz w:val="22"/>
          <w:szCs w:val="22"/>
          <w:lang w:val="en-GB"/>
        </w:rPr>
        <w:t>nation</w:t>
      </w:r>
      <w:r w:rsidR="008A0FEF" w:rsidRPr="00E90F29">
        <w:rPr>
          <w:rFonts w:ascii="Arial" w:hAnsi="Arial" w:cs="Arial"/>
          <w:sz w:val="22"/>
          <w:szCs w:val="22"/>
          <w:lang w:val="en-GB"/>
        </w:rPr>
        <w:t>, Kosovo is aspiring to abide by relevant human rights standards applicable on that continent. The same is true of the Mission. As an EU mission, it seems natural that it would strive to apply standards applicable in that particular area. Secondly, the ECHR reflects a core of basic, internationally-recognised, human rights that should be applicable in any law-abiding context. By committing to those, the Mission is also sending an implicit message that, in the performance of its executive tasks, it will strive to comply with the same</w:t>
      </w:r>
      <w:r w:rsidR="009C44BE" w:rsidRPr="00E90F29">
        <w:rPr>
          <w:rFonts w:ascii="Arial" w:hAnsi="Arial" w:cs="Arial"/>
          <w:sz w:val="22"/>
          <w:szCs w:val="22"/>
          <w:lang w:val="en-GB"/>
        </w:rPr>
        <w:t>, minimum,</w:t>
      </w:r>
      <w:r w:rsidR="008A0FEF" w:rsidRPr="00E90F29">
        <w:rPr>
          <w:rFonts w:ascii="Arial" w:hAnsi="Arial" w:cs="Arial"/>
          <w:sz w:val="22"/>
          <w:szCs w:val="22"/>
          <w:lang w:val="en-GB"/>
        </w:rPr>
        <w:t xml:space="preserve"> standards of human rights that are </w:t>
      </w:r>
      <w:r w:rsidR="009C44BE" w:rsidRPr="00E90F29">
        <w:rPr>
          <w:rFonts w:ascii="Arial" w:hAnsi="Arial" w:cs="Arial"/>
          <w:sz w:val="22"/>
          <w:szCs w:val="22"/>
          <w:lang w:val="en-GB"/>
        </w:rPr>
        <w:t xml:space="preserve">normally </w:t>
      </w:r>
      <w:r w:rsidR="008A0FEF" w:rsidRPr="00E90F29">
        <w:rPr>
          <w:rFonts w:ascii="Arial" w:hAnsi="Arial" w:cs="Arial"/>
          <w:sz w:val="22"/>
          <w:szCs w:val="22"/>
          <w:lang w:val="en-GB"/>
        </w:rPr>
        <w:t>applicable to states</w:t>
      </w:r>
      <w:r w:rsidR="009C44BE" w:rsidRPr="00E90F29">
        <w:rPr>
          <w:rFonts w:ascii="Arial" w:hAnsi="Arial" w:cs="Arial"/>
          <w:sz w:val="22"/>
          <w:szCs w:val="22"/>
          <w:lang w:val="en-GB"/>
        </w:rPr>
        <w:t xml:space="preserve"> on the continent</w:t>
      </w:r>
      <w:r w:rsidR="008A0FEF" w:rsidRPr="00E90F29">
        <w:rPr>
          <w:rFonts w:ascii="Arial" w:hAnsi="Arial" w:cs="Arial"/>
          <w:sz w:val="22"/>
          <w:szCs w:val="22"/>
          <w:lang w:val="en-GB"/>
        </w:rPr>
        <w:t xml:space="preserve">. Thirdly, there is something to be said for the quality and amount of jurisprudence coming out of the ECtHR, which the Panel was able to rely upon to fulfil its own mandate. </w:t>
      </w:r>
      <w:r w:rsidR="009C44BE" w:rsidRPr="00E90F29">
        <w:rPr>
          <w:rFonts w:ascii="Arial" w:hAnsi="Arial" w:cs="Arial"/>
          <w:sz w:val="22"/>
          <w:szCs w:val="22"/>
          <w:lang w:val="en-GB"/>
        </w:rPr>
        <w:t xml:space="preserve">The breadth and depth of the caselaw of the ECtHR offered the Panel a rich jurisprudential pot from which to borrow for the resolution of its own cases. </w:t>
      </w:r>
    </w:p>
    <w:p w14:paraId="5EADB936" w14:textId="77777777" w:rsidR="008732C4" w:rsidRPr="00E90F29" w:rsidRDefault="008732C4" w:rsidP="00E90F29">
      <w:pPr>
        <w:spacing w:line="360" w:lineRule="auto"/>
        <w:jc w:val="both"/>
        <w:rPr>
          <w:rFonts w:ascii="Arial" w:hAnsi="Arial" w:cs="Arial"/>
          <w:sz w:val="22"/>
          <w:szCs w:val="22"/>
          <w:lang w:val="en-GB"/>
        </w:rPr>
      </w:pPr>
    </w:p>
    <w:p w14:paraId="1B05D12A" w14:textId="0878A5F9" w:rsidR="00856551" w:rsidRPr="00E90F29" w:rsidRDefault="00856551" w:rsidP="00E90F29">
      <w:pPr>
        <w:pStyle w:val="Heading2"/>
      </w:pPr>
      <w:bookmarkStart w:id="5" w:name="_Toc513713949"/>
      <w:r w:rsidRPr="00E90F29">
        <w:t>2.3 Application of ECHR standards with a twist? Specificity of a rule of law mission</w:t>
      </w:r>
      <w:r w:rsidR="009C44BE" w:rsidRPr="00E90F29">
        <w:t xml:space="preserve"> compared to a state</w:t>
      </w:r>
      <w:bookmarkEnd w:id="5"/>
      <w:r w:rsidR="009C44BE" w:rsidRPr="00E90F29">
        <w:t xml:space="preserve"> </w:t>
      </w:r>
    </w:p>
    <w:p w14:paraId="7A2BC75A" w14:textId="77777777" w:rsidR="002F7CB8" w:rsidRPr="00E90F29" w:rsidRDefault="008A0FEF" w:rsidP="00E90F29">
      <w:pPr>
        <w:suppressAutoHyphens/>
        <w:autoSpaceDE w:val="0"/>
        <w:spacing w:line="360" w:lineRule="auto"/>
        <w:jc w:val="both"/>
        <w:rPr>
          <w:rFonts w:ascii="Arial" w:hAnsi="Arial" w:cs="Arial"/>
          <w:sz w:val="22"/>
          <w:szCs w:val="22"/>
          <w:lang w:val="en-GB"/>
        </w:rPr>
      </w:pPr>
      <w:r w:rsidRPr="00E90F29">
        <w:rPr>
          <w:rFonts w:ascii="Arial" w:hAnsi="Arial" w:cs="Arial"/>
          <w:sz w:val="22"/>
          <w:szCs w:val="22"/>
          <w:lang w:val="en-GB"/>
        </w:rPr>
        <w:t xml:space="preserve">A question could be asked about whether, in the fulfilment of its mandate, the Panel has always applied the law of the ECHR in a manner fully consonant with that body of law. The principled answer is that it tried to do so and, for the most part, probably succeeded in doing so. </w:t>
      </w:r>
    </w:p>
    <w:p w14:paraId="18052560" w14:textId="77777777" w:rsidR="002F7CB8" w:rsidRPr="00E90F29" w:rsidRDefault="002F7CB8" w:rsidP="00E90F29">
      <w:pPr>
        <w:suppressAutoHyphens/>
        <w:autoSpaceDE w:val="0"/>
        <w:spacing w:line="360" w:lineRule="auto"/>
        <w:jc w:val="both"/>
        <w:rPr>
          <w:rFonts w:ascii="Arial" w:hAnsi="Arial" w:cs="Arial"/>
          <w:sz w:val="22"/>
          <w:szCs w:val="22"/>
          <w:lang w:val="en-GB"/>
        </w:rPr>
      </w:pPr>
    </w:p>
    <w:p w14:paraId="20EC6566" w14:textId="41D17BD6" w:rsidR="007A55BA" w:rsidRPr="00E90F29" w:rsidRDefault="008A0FEF" w:rsidP="00E90F29">
      <w:pPr>
        <w:suppressAutoHyphens/>
        <w:autoSpaceDE w:val="0"/>
        <w:spacing w:line="360" w:lineRule="auto"/>
        <w:jc w:val="both"/>
        <w:rPr>
          <w:rFonts w:ascii="Arial" w:hAnsi="Arial" w:cs="Arial"/>
          <w:sz w:val="22"/>
          <w:szCs w:val="22"/>
          <w:lang w:val="en-GB"/>
        </w:rPr>
      </w:pPr>
      <w:r w:rsidRPr="00E90F29">
        <w:rPr>
          <w:rFonts w:ascii="Arial" w:hAnsi="Arial" w:cs="Arial"/>
          <w:sz w:val="22"/>
          <w:szCs w:val="22"/>
          <w:lang w:val="en-GB"/>
        </w:rPr>
        <w:t xml:space="preserve">The </w:t>
      </w:r>
      <w:r w:rsidR="002F0081" w:rsidRPr="00E90F29">
        <w:rPr>
          <w:rFonts w:ascii="Arial" w:hAnsi="Arial" w:cs="Arial"/>
          <w:sz w:val="22"/>
          <w:szCs w:val="22"/>
          <w:lang w:val="en-GB"/>
        </w:rPr>
        <w:t>one</w:t>
      </w:r>
      <w:r w:rsidRPr="00E90F29">
        <w:rPr>
          <w:rFonts w:ascii="Arial" w:hAnsi="Arial" w:cs="Arial"/>
          <w:sz w:val="22"/>
          <w:szCs w:val="22"/>
          <w:lang w:val="en-GB"/>
        </w:rPr>
        <w:t xml:space="preserve"> qualification to give to that view is that EULEX is not a state. </w:t>
      </w:r>
      <w:r w:rsidR="007A55BA" w:rsidRPr="00E90F29">
        <w:rPr>
          <w:rFonts w:ascii="Arial" w:hAnsi="Arial" w:cs="Arial"/>
          <w:sz w:val="22"/>
          <w:szCs w:val="22"/>
          <w:lang w:val="en-GB"/>
        </w:rPr>
        <w:t xml:space="preserve">It follows that EULEX does not possess all the attributes and resources typically available to states in the performance of their governmental functions. This, in turn, </w:t>
      </w:r>
      <w:r w:rsidR="002F7CB8" w:rsidRPr="00E90F29">
        <w:rPr>
          <w:rFonts w:ascii="Arial" w:hAnsi="Arial" w:cs="Arial"/>
          <w:sz w:val="22"/>
          <w:szCs w:val="22"/>
          <w:lang w:val="en-GB"/>
        </w:rPr>
        <w:t>has impacted</w:t>
      </w:r>
      <w:r w:rsidR="007A55BA" w:rsidRPr="00E90F29">
        <w:rPr>
          <w:rFonts w:ascii="Arial" w:hAnsi="Arial" w:cs="Arial"/>
          <w:sz w:val="22"/>
          <w:szCs w:val="22"/>
          <w:lang w:val="en-GB"/>
        </w:rPr>
        <w:t xml:space="preserve"> the standard by which its human rights compliance </w:t>
      </w:r>
      <w:r w:rsidR="002F7CB8" w:rsidRPr="00E90F29">
        <w:rPr>
          <w:rFonts w:ascii="Arial" w:hAnsi="Arial" w:cs="Arial"/>
          <w:sz w:val="22"/>
          <w:szCs w:val="22"/>
          <w:lang w:val="en-GB"/>
        </w:rPr>
        <w:t>was</w:t>
      </w:r>
      <w:r w:rsidR="007A55BA" w:rsidRPr="00E90F29">
        <w:rPr>
          <w:rFonts w:ascii="Arial" w:hAnsi="Arial" w:cs="Arial"/>
          <w:sz w:val="22"/>
          <w:szCs w:val="22"/>
          <w:lang w:val="en-GB"/>
        </w:rPr>
        <w:t xml:space="preserve"> assessed</w:t>
      </w:r>
      <w:r w:rsidR="002F7CB8" w:rsidRPr="00E90F29">
        <w:rPr>
          <w:rFonts w:ascii="Arial" w:hAnsi="Arial" w:cs="Arial"/>
          <w:sz w:val="22"/>
          <w:szCs w:val="22"/>
          <w:lang w:val="en-GB"/>
        </w:rPr>
        <w:t xml:space="preserve"> by the Panel</w:t>
      </w:r>
      <w:r w:rsidR="007A55BA" w:rsidRPr="00E90F29">
        <w:rPr>
          <w:rFonts w:ascii="Arial" w:hAnsi="Arial" w:cs="Arial"/>
          <w:sz w:val="22"/>
          <w:szCs w:val="22"/>
          <w:lang w:val="en-GB"/>
        </w:rPr>
        <w:t>. More specifically, the Panel has stated:</w:t>
      </w:r>
    </w:p>
    <w:p w14:paraId="27FAAF2E" w14:textId="77777777" w:rsidR="007A55BA" w:rsidRPr="00E90F29" w:rsidRDefault="007A55BA" w:rsidP="00E90F29">
      <w:pPr>
        <w:suppressAutoHyphens/>
        <w:autoSpaceDE w:val="0"/>
        <w:spacing w:line="360" w:lineRule="auto"/>
        <w:jc w:val="both"/>
        <w:rPr>
          <w:rFonts w:ascii="Arial" w:hAnsi="Arial" w:cs="Arial"/>
          <w:sz w:val="22"/>
          <w:szCs w:val="22"/>
          <w:lang w:val="en-GB"/>
        </w:rPr>
      </w:pPr>
    </w:p>
    <w:p w14:paraId="571F493B" w14:textId="77777777" w:rsidR="007A55BA" w:rsidRPr="00E90F29" w:rsidRDefault="007A55BA" w:rsidP="00E90F29">
      <w:pPr>
        <w:suppressAutoHyphens/>
        <w:autoSpaceDE w:val="0"/>
        <w:spacing w:line="360" w:lineRule="auto"/>
        <w:ind w:left="720"/>
        <w:jc w:val="both"/>
        <w:rPr>
          <w:rFonts w:ascii="Arial" w:hAnsi="Arial" w:cs="Arial"/>
          <w:sz w:val="22"/>
          <w:szCs w:val="22"/>
          <w:lang w:val="en-GB"/>
        </w:rPr>
      </w:pPr>
      <w:r w:rsidRPr="00E90F29">
        <w:rPr>
          <w:rFonts w:ascii="Arial" w:hAnsi="Arial" w:cs="Arial"/>
          <w:sz w:val="22"/>
          <w:szCs w:val="22"/>
          <w:lang w:val="en-GB"/>
        </w:rPr>
        <w:t xml:space="preserve">“As a preliminary matter, the Panel notes that EULEX is not expected to provide better policing than the resources put at its disposal would allow. EULEX is </w:t>
      </w:r>
      <w:r w:rsidRPr="00E90F29">
        <w:rPr>
          <w:rFonts w:ascii="Arial" w:hAnsi="Arial" w:cs="Arial"/>
          <w:sz w:val="22"/>
          <w:szCs w:val="22"/>
          <w:lang w:val="en-GB"/>
        </w:rPr>
        <w:lastRenderedPageBreak/>
        <w:t>obliged, however, to take necessary and reasonable measures within the scope of its competence to provide for the effective protection of the human rights of those who find themselves on the territory of Kosovo.”</w:t>
      </w:r>
      <w:r w:rsidRPr="00E90F29">
        <w:rPr>
          <w:rStyle w:val="FootnoteReference"/>
          <w:rFonts w:ascii="Arial" w:hAnsi="Arial" w:cs="Arial"/>
          <w:sz w:val="22"/>
          <w:szCs w:val="22"/>
          <w:lang w:val="en-GB"/>
        </w:rPr>
        <w:footnoteReference w:id="3"/>
      </w:r>
      <w:r w:rsidRPr="00E90F29">
        <w:rPr>
          <w:rFonts w:ascii="Arial" w:hAnsi="Arial" w:cs="Arial"/>
          <w:sz w:val="22"/>
          <w:szCs w:val="22"/>
          <w:lang w:val="en-GB"/>
        </w:rPr>
        <w:t xml:space="preserve"> </w:t>
      </w:r>
    </w:p>
    <w:p w14:paraId="66494E3F" w14:textId="77777777" w:rsidR="007A55BA" w:rsidRPr="00E90F29" w:rsidRDefault="007A55BA" w:rsidP="00E90F29">
      <w:pPr>
        <w:suppressAutoHyphens/>
        <w:autoSpaceDE w:val="0"/>
        <w:spacing w:line="360" w:lineRule="auto"/>
        <w:ind w:left="720"/>
        <w:jc w:val="both"/>
        <w:rPr>
          <w:rFonts w:ascii="Arial" w:hAnsi="Arial" w:cs="Arial"/>
          <w:sz w:val="22"/>
          <w:szCs w:val="22"/>
          <w:lang w:val="en-GB"/>
        </w:rPr>
      </w:pPr>
    </w:p>
    <w:p w14:paraId="254BC3B8" w14:textId="77777777" w:rsidR="007A55BA" w:rsidRPr="00E90F29" w:rsidRDefault="007A55BA" w:rsidP="00E90F29">
      <w:pPr>
        <w:suppressAutoHyphens/>
        <w:autoSpaceDE w:val="0"/>
        <w:spacing w:line="360" w:lineRule="auto"/>
        <w:jc w:val="both"/>
        <w:rPr>
          <w:rFonts w:ascii="Arial" w:hAnsi="Arial" w:cs="Arial"/>
          <w:sz w:val="22"/>
          <w:szCs w:val="22"/>
          <w:lang w:val="en-GB"/>
        </w:rPr>
      </w:pPr>
      <w:r w:rsidRPr="00E90F29">
        <w:rPr>
          <w:rFonts w:ascii="Arial" w:hAnsi="Arial" w:cs="Arial"/>
          <w:sz w:val="22"/>
          <w:szCs w:val="22"/>
          <w:lang w:val="en-GB"/>
        </w:rPr>
        <w:t>Along the same line, the Panel also noted the following:</w:t>
      </w:r>
    </w:p>
    <w:p w14:paraId="66A034D8" w14:textId="77777777" w:rsidR="007A55BA" w:rsidRPr="00E90F29" w:rsidRDefault="007A55BA" w:rsidP="00E90F29">
      <w:pPr>
        <w:suppressAutoHyphens/>
        <w:autoSpaceDE w:val="0"/>
        <w:spacing w:line="360" w:lineRule="auto"/>
        <w:ind w:left="720"/>
        <w:jc w:val="both"/>
        <w:rPr>
          <w:rFonts w:ascii="Arial" w:hAnsi="Arial" w:cs="Arial"/>
          <w:sz w:val="22"/>
          <w:szCs w:val="22"/>
          <w:lang w:val="en-GB"/>
        </w:rPr>
      </w:pPr>
    </w:p>
    <w:p w14:paraId="2B183BDB" w14:textId="77777777" w:rsidR="007A55BA" w:rsidRPr="00E90F29" w:rsidRDefault="007A55BA" w:rsidP="00E90F29">
      <w:pPr>
        <w:suppressAutoHyphens/>
        <w:autoSpaceDE w:val="0"/>
        <w:spacing w:line="360" w:lineRule="auto"/>
        <w:ind w:left="720"/>
        <w:jc w:val="both"/>
        <w:rPr>
          <w:rFonts w:ascii="Arial" w:hAnsi="Arial" w:cs="Arial"/>
          <w:sz w:val="22"/>
          <w:szCs w:val="22"/>
          <w:lang w:val="en-GB"/>
        </w:rPr>
      </w:pPr>
      <w:r w:rsidRPr="00E90F29">
        <w:rPr>
          <w:rFonts w:ascii="Arial" w:hAnsi="Arial" w:cs="Arial"/>
          <w:sz w:val="22"/>
          <w:szCs w:val="22"/>
        </w:rPr>
        <w:t>“</w:t>
      </w:r>
      <w:r w:rsidRPr="00E90F29">
        <w:rPr>
          <w:rFonts w:ascii="Arial" w:hAnsi="Arial" w:cs="Arial"/>
          <w:sz w:val="22"/>
          <w:szCs w:val="22"/>
          <w:lang w:val="en-GB"/>
        </w:rPr>
        <w:t>The Panel is well aware that the notion of an effective remedy when applied in the context of a mission led by an international organisation cannot be construed in the same way as in the context of a national state. However, it needs to assess, having regard to the specificity of the legal situation of EULEX in that it enjoyed immunity and cases against its officials could not be directly pursued before the Kosovo courts, whether it addressed the complainant’s situation in a manner compatible with at least the minimum procedural requirements compatible with the notion of an effective remedy.”</w:t>
      </w:r>
      <w:r w:rsidRPr="00E90F29">
        <w:rPr>
          <w:rStyle w:val="FootnoteReference"/>
          <w:rFonts w:ascii="Arial" w:hAnsi="Arial" w:cs="Arial"/>
          <w:sz w:val="22"/>
          <w:szCs w:val="22"/>
          <w:lang w:val="en-GB"/>
        </w:rPr>
        <w:footnoteReference w:id="4"/>
      </w:r>
    </w:p>
    <w:p w14:paraId="5BBCFDEC" w14:textId="77777777" w:rsidR="007A55BA" w:rsidRPr="00E90F29" w:rsidRDefault="007A55BA" w:rsidP="00E90F29">
      <w:pPr>
        <w:suppressAutoHyphens/>
        <w:autoSpaceDE w:val="0"/>
        <w:spacing w:line="360" w:lineRule="auto"/>
        <w:ind w:left="720"/>
        <w:jc w:val="both"/>
        <w:rPr>
          <w:rFonts w:ascii="Arial" w:hAnsi="Arial" w:cs="Arial"/>
          <w:sz w:val="22"/>
          <w:szCs w:val="22"/>
          <w:lang w:val="en-GB"/>
        </w:rPr>
      </w:pPr>
    </w:p>
    <w:p w14:paraId="7C663DDE" w14:textId="3929EF44" w:rsidR="007A55BA" w:rsidRPr="00E90F29" w:rsidRDefault="002F7CB8" w:rsidP="00E90F29">
      <w:pPr>
        <w:suppressAutoHyphens/>
        <w:autoSpaceDE w:val="0"/>
        <w:spacing w:line="360" w:lineRule="auto"/>
        <w:jc w:val="both"/>
        <w:rPr>
          <w:rFonts w:ascii="Arial" w:hAnsi="Arial" w:cs="Arial"/>
          <w:sz w:val="22"/>
          <w:szCs w:val="22"/>
          <w:lang w:val="en-GB"/>
        </w:rPr>
      </w:pPr>
      <w:r w:rsidRPr="00E90F29">
        <w:rPr>
          <w:rFonts w:ascii="Arial" w:hAnsi="Arial" w:cs="Arial"/>
          <w:sz w:val="22"/>
          <w:szCs w:val="22"/>
          <w:lang w:val="en-GB"/>
        </w:rPr>
        <w:t>Therefore,</w:t>
      </w:r>
      <w:r w:rsidR="00856551" w:rsidRPr="00E90F29">
        <w:rPr>
          <w:rFonts w:ascii="Arial" w:hAnsi="Arial" w:cs="Arial"/>
          <w:sz w:val="22"/>
          <w:szCs w:val="22"/>
          <w:lang w:val="en-GB"/>
        </w:rPr>
        <w:t xml:space="preserve"> the</w:t>
      </w:r>
      <w:r w:rsidR="007A55BA" w:rsidRPr="00E90F29">
        <w:rPr>
          <w:rFonts w:ascii="Arial" w:hAnsi="Arial" w:cs="Arial"/>
          <w:sz w:val="22"/>
          <w:szCs w:val="22"/>
          <w:lang w:val="en-GB"/>
        </w:rPr>
        <w:t xml:space="preserve"> Mission’s ability </w:t>
      </w:r>
      <w:r w:rsidR="00856551" w:rsidRPr="00E90F29">
        <w:rPr>
          <w:rFonts w:ascii="Arial" w:hAnsi="Arial" w:cs="Arial"/>
          <w:sz w:val="22"/>
          <w:szCs w:val="22"/>
          <w:lang w:val="en-GB"/>
        </w:rPr>
        <w:t xml:space="preserve">and capacity </w:t>
      </w:r>
      <w:r w:rsidR="007A55BA" w:rsidRPr="00E90F29">
        <w:rPr>
          <w:rFonts w:ascii="Arial" w:hAnsi="Arial" w:cs="Arial"/>
          <w:sz w:val="22"/>
          <w:szCs w:val="22"/>
          <w:lang w:val="en-GB"/>
        </w:rPr>
        <w:t xml:space="preserve">to guarantee the effective protection of human rights cannot be compared in all respects to the state’s abilities and the expectations that follow. </w:t>
      </w:r>
      <w:r w:rsidR="007A55BA" w:rsidRPr="00E90F29">
        <w:rPr>
          <w:rStyle w:val="FootnoteReference"/>
          <w:rFonts w:ascii="Arial" w:hAnsi="Arial" w:cs="Arial"/>
          <w:sz w:val="22"/>
          <w:szCs w:val="22"/>
          <w:lang w:val="en-GB"/>
        </w:rPr>
        <w:footnoteReference w:id="5"/>
      </w:r>
      <w:r w:rsidR="007A55BA" w:rsidRPr="00E90F29">
        <w:rPr>
          <w:rFonts w:ascii="Arial" w:hAnsi="Arial" w:cs="Arial"/>
          <w:sz w:val="22"/>
          <w:szCs w:val="22"/>
          <w:lang w:val="en-GB"/>
        </w:rPr>
        <w:t xml:space="preserve"> Any such evaluation must take into account the specificities of the Mission that are relevant to its ability and responsibility to ensure effective compliance with relevant human rights standards. </w:t>
      </w:r>
      <w:r w:rsidRPr="00E90F29">
        <w:rPr>
          <w:rFonts w:ascii="Arial" w:hAnsi="Arial" w:cs="Arial"/>
          <w:sz w:val="22"/>
          <w:szCs w:val="22"/>
          <w:lang w:val="en-GB"/>
        </w:rPr>
        <w:t>To that extent, the Panel has had to evaluate the extent to which the Mission, with its limited mandate and resources, could and did comply with standards of human rights normally applicable to a state.</w:t>
      </w:r>
    </w:p>
    <w:p w14:paraId="79606681" w14:textId="77777777" w:rsidR="007A55BA" w:rsidRPr="00E90F29" w:rsidRDefault="007A55BA" w:rsidP="00E90F29">
      <w:pPr>
        <w:suppressAutoHyphens/>
        <w:autoSpaceDE w:val="0"/>
        <w:spacing w:line="360" w:lineRule="auto"/>
        <w:jc w:val="both"/>
        <w:rPr>
          <w:rFonts w:ascii="Arial" w:hAnsi="Arial" w:cs="Arial"/>
          <w:sz w:val="22"/>
          <w:szCs w:val="22"/>
          <w:lang w:val="en-GB"/>
        </w:rPr>
      </w:pPr>
    </w:p>
    <w:p w14:paraId="4D8B4C11" w14:textId="77777777" w:rsidR="002F7CB8" w:rsidRPr="00E90F29" w:rsidRDefault="007A55BA" w:rsidP="00E90F29">
      <w:pPr>
        <w:pStyle w:val="ColorfulShading-Accent31"/>
        <w:spacing w:line="360" w:lineRule="auto"/>
        <w:ind w:left="0"/>
        <w:contextualSpacing/>
        <w:jc w:val="both"/>
        <w:rPr>
          <w:rFonts w:ascii="Arial" w:hAnsi="Arial" w:cs="Arial"/>
          <w:sz w:val="22"/>
          <w:szCs w:val="22"/>
          <w:lang w:val="en-GB"/>
        </w:rPr>
      </w:pPr>
      <w:r w:rsidRPr="00E90F29">
        <w:rPr>
          <w:rFonts w:ascii="Arial" w:hAnsi="Arial" w:cs="Arial"/>
          <w:sz w:val="22"/>
          <w:szCs w:val="22"/>
          <w:lang w:val="en-GB"/>
        </w:rPr>
        <w:t xml:space="preserve">Also, given its limited </w:t>
      </w:r>
      <w:r w:rsidRPr="00E90F29">
        <w:rPr>
          <w:rFonts w:ascii="Arial" w:hAnsi="Arial" w:cs="Arial"/>
          <w:i/>
          <w:sz w:val="22"/>
          <w:szCs w:val="22"/>
          <w:lang w:val="en-GB"/>
        </w:rPr>
        <w:t>executive</w:t>
      </w:r>
      <w:r w:rsidRPr="00E90F29">
        <w:rPr>
          <w:rFonts w:ascii="Arial" w:hAnsi="Arial" w:cs="Arial"/>
          <w:sz w:val="22"/>
          <w:szCs w:val="22"/>
          <w:lang w:val="en-GB"/>
        </w:rPr>
        <w:t xml:space="preserve"> mandate, EULEX cannot be held responsible</w:t>
      </w:r>
      <w:r w:rsidR="002F7CB8" w:rsidRPr="00E90F29">
        <w:rPr>
          <w:rFonts w:ascii="Arial" w:hAnsi="Arial" w:cs="Arial"/>
          <w:sz w:val="22"/>
          <w:szCs w:val="22"/>
          <w:lang w:val="en-GB"/>
        </w:rPr>
        <w:t xml:space="preserve"> before the Panel</w:t>
      </w:r>
      <w:r w:rsidRPr="00E90F29">
        <w:rPr>
          <w:rFonts w:ascii="Arial" w:hAnsi="Arial" w:cs="Arial"/>
          <w:sz w:val="22"/>
          <w:szCs w:val="22"/>
          <w:lang w:val="en-GB"/>
        </w:rPr>
        <w:t xml:space="preserve"> for failing to guarantee a general and all-encompassing protection o</w:t>
      </w:r>
      <w:r w:rsidR="002F7CB8" w:rsidRPr="00E90F29">
        <w:rPr>
          <w:rFonts w:ascii="Arial" w:hAnsi="Arial" w:cs="Arial"/>
          <w:sz w:val="22"/>
          <w:szCs w:val="22"/>
          <w:lang w:val="en-GB"/>
        </w:rPr>
        <w:t>f human rights in Kosovo as this</w:t>
      </w:r>
      <w:r w:rsidRPr="00E90F29">
        <w:rPr>
          <w:rFonts w:ascii="Arial" w:hAnsi="Arial" w:cs="Arial"/>
          <w:sz w:val="22"/>
          <w:szCs w:val="22"/>
          <w:lang w:val="en-GB"/>
        </w:rPr>
        <w:t xml:space="preserve"> would </w:t>
      </w:r>
      <w:r w:rsidR="002F7CB8" w:rsidRPr="00E90F29">
        <w:rPr>
          <w:rFonts w:ascii="Arial" w:hAnsi="Arial" w:cs="Arial"/>
          <w:sz w:val="22"/>
          <w:szCs w:val="22"/>
          <w:lang w:val="en-GB"/>
        </w:rPr>
        <w:t xml:space="preserve">have </w:t>
      </w:r>
      <w:r w:rsidRPr="00E90F29">
        <w:rPr>
          <w:rFonts w:ascii="Arial" w:hAnsi="Arial" w:cs="Arial"/>
          <w:sz w:val="22"/>
          <w:szCs w:val="22"/>
          <w:lang w:val="en-GB"/>
        </w:rPr>
        <w:t>place</w:t>
      </w:r>
      <w:r w:rsidR="002F7CB8" w:rsidRPr="00E90F29">
        <w:rPr>
          <w:rFonts w:ascii="Arial" w:hAnsi="Arial" w:cs="Arial"/>
          <w:sz w:val="22"/>
          <w:szCs w:val="22"/>
          <w:lang w:val="en-GB"/>
        </w:rPr>
        <w:t>d</w:t>
      </w:r>
      <w:r w:rsidRPr="00E90F29">
        <w:rPr>
          <w:rFonts w:ascii="Arial" w:hAnsi="Arial" w:cs="Arial"/>
          <w:sz w:val="22"/>
          <w:szCs w:val="22"/>
          <w:lang w:val="en-GB"/>
        </w:rPr>
        <w:t xml:space="preserve"> an impossible or disproportionate burden on the Mission.</w:t>
      </w:r>
      <w:r w:rsidRPr="00E90F29">
        <w:rPr>
          <w:rStyle w:val="FootnoteReference"/>
          <w:rFonts w:ascii="Arial" w:hAnsi="Arial" w:cs="Arial"/>
          <w:sz w:val="22"/>
          <w:szCs w:val="22"/>
          <w:lang w:val="en-GB"/>
        </w:rPr>
        <w:footnoteReference w:id="6"/>
      </w:r>
      <w:r w:rsidRPr="00E90F29">
        <w:rPr>
          <w:rFonts w:ascii="Arial" w:hAnsi="Arial" w:cs="Arial"/>
          <w:sz w:val="22"/>
          <w:szCs w:val="22"/>
          <w:lang w:val="en-GB"/>
        </w:rPr>
        <w:t xml:space="preserve"> </w:t>
      </w:r>
      <w:r w:rsidR="002F7CB8" w:rsidRPr="00E90F29">
        <w:rPr>
          <w:rFonts w:ascii="Arial" w:hAnsi="Arial" w:cs="Arial"/>
          <w:sz w:val="22"/>
          <w:szCs w:val="22"/>
          <w:lang w:val="en-GB"/>
        </w:rPr>
        <w:t xml:space="preserve">Its human rights responsibilities are therefore legally limited to the performance and fulfilment of its executive mandate in the areas listed above. </w:t>
      </w:r>
    </w:p>
    <w:p w14:paraId="28328EE2" w14:textId="77777777" w:rsidR="002F7CB8" w:rsidRPr="00E90F29" w:rsidRDefault="002F7CB8" w:rsidP="00E90F29">
      <w:pPr>
        <w:pStyle w:val="ColorfulShading-Accent31"/>
        <w:spacing w:line="360" w:lineRule="auto"/>
        <w:ind w:left="0"/>
        <w:contextualSpacing/>
        <w:jc w:val="both"/>
        <w:rPr>
          <w:rFonts w:ascii="Arial" w:hAnsi="Arial" w:cs="Arial"/>
          <w:sz w:val="22"/>
          <w:szCs w:val="22"/>
          <w:lang w:val="en-GB"/>
        </w:rPr>
      </w:pPr>
    </w:p>
    <w:p w14:paraId="0249629F" w14:textId="79821135" w:rsidR="007A55BA" w:rsidRPr="00E90F29" w:rsidRDefault="007A55BA" w:rsidP="00E90F29">
      <w:pPr>
        <w:pStyle w:val="ColorfulShading-Accent31"/>
        <w:spacing w:line="360" w:lineRule="auto"/>
        <w:ind w:left="0"/>
        <w:contextualSpacing/>
        <w:jc w:val="both"/>
        <w:rPr>
          <w:rFonts w:ascii="Arial" w:hAnsi="Arial" w:cs="Arial"/>
          <w:sz w:val="22"/>
          <w:szCs w:val="22"/>
          <w:lang w:val="en-GB"/>
        </w:rPr>
      </w:pPr>
      <w:r w:rsidRPr="00E90F29">
        <w:rPr>
          <w:rFonts w:ascii="Arial" w:hAnsi="Arial" w:cs="Arial"/>
          <w:sz w:val="22"/>
          <w:szCs w:val="22"/>
          <w:lang w:val="en-GB"/>
        </w:rPr>
        <w:lastRenderedPageBreak/>
        <w:t xml:space="preserve">Nor can a rule of law mission be expected to replace the state in which it operates. Instead, a rule of law mission such as EULEX should be perceived as an additional layer of human rights accountability that protects the rights of those who come in contact with the mission. </w:t>
      </w:r>
      <w:r w:rsidR="002F7CB8" w:rsidRPr="00E90F29">
        <w:rPr>
          <w:rFonts w:ascii="Arial" w:hAnsi="Arial" w:cs="Arial"/>
          <w:sz w:val="22"/>
          <w:szCs w:val="22"/>
          <w:lang w:val="en-GB"/>
        </w:rPr>
        <w:t xml:space="preserve">This does not mean that its human rights obligations are secondary or subsidiary. Instead, the Mission has its own human rights obligations, as defined above. Those, however, are to be evaluated in the broadest framework and context of the environment in which it operates and in light, in particular, of that state’s own human rights obligations. </w:t>
      </w:r>
    </w:p>
    <w:p w14:paraId="545915B3" w14:textId="77777777" w:rsidR="007A55BA" w:rsidRPr="00E90F29" w:rsidRDefault="007A55BA" w:rsidP="00E90F29">
      <w:pPr>
        <w:pStyle w:val="ColorfulShading-Accent31"/>
        <w:spacing w:line="360" w:lineRule="auto"/>
        <w:ind w:left="0"/>
        <w:contextualSpacing/>
        <w:jc w:val="both"/>
        <w:rPr>
          <w:rFonts w:ascii="Arial" w:hAnsi="Arial" w:cs="Arial"/>
          <w:sz w:val="22"/>
          <w:szCs w:val="22"/>
          <w:lang w:val="en-GB"/>
        </w:rPr>
      </w:pPr>
    </w:p>
    <w:p w14:paraId="78A246BF" w14:textId="3E964DDB" w:rsidR="007A55BA" w:rsidRPr="00E90F29" w:rsidRDefault="007A55BA" w:rsidP="00E90F29">
      <w:pPr>
        <w:pStyle w:val="ColorfulShading-Accent31"/>
        <w:spacing w:line="360" w:lineRule="auto"/>
        <w:ind w:left="0"/>
        <w:contextualSpacing/>
        <w:jc w:val="both"/>
        <w:rPr>
          <w:rFonts w:ascii="Arial" w:hAnsi="Arial" w:cs="Arial"/>
          <w:sz w:val="22"/>
          <w:szCs w:val="22"/>
          <w:lang w:val="en-GB"/>
        </w:rPr>
      </w:pPr>
      <w:r w:rsidRPr="00E90F29">
        <w:rPr>
          <w:rFonts w:ascii="Arial" w:hAnsi="Arial" w:cs="Arial"/>
          <w:sz w:val="22"/>
          <w:szCs w:val="22"/>
          <w:lang w:val="en-GB"/>
        </w:rPr>
        <w:t>Furthermore, differences in the way</w:t>
      </w:r>
      <w:r w:rsidR="002F7CB8" w:rsidRPr="00E90F29">
        <w:rPr>
          <w:rFonts w:ascii="Arial" w:hAnsi="Arial" w:cs="Arial"/>
          <w:sz w:val="22"/>
          <w:szCs w:val="22"/>
          <w:lang w:val="en-GB"/>
        </w:rPr>
        <w:t xml:space="preserve"> in which</w:t>
      </w:r>
      <w:r w:rsidRPr="00E90F29">
        <w:rPr>
          <w:rFonts w:ascii="Arial" w:hAnsi="Arial" w:cs="Arial"/>
          <w:sz w:val="22"/>
          <w:szCs w:val="22"/>
          <w:lang w:val="en-GB"/>
        </w:rPr>
        <w:t xml:space="preserve"> a state, as </w:t>
      </w:r>
      <w:r w:rsidR="002F7CB8" w:rsidRPr="00E90F29">
        <w:rPr>
          <w:rFonts w:ascii="Arial" w:hAnsi="Arial" w:cs="Arial"/>
          <w:sz w:val="22"/>
          <w:szCs w:val="22"/>
          <w:lang w:val="en-GB"/>
        </w:rPr>
        <w:t>distinct from a rule of law</w:t>
      </w:r>
      <w:r w:rsidRPr="00E90F29">
        <w:rPr>
          <w:rFonts w:ascii="Arial" w:hAnsi="Arial" w:cs="Arial"/>
          <w:sz w:val="22"/>
          <w:szCs w:val="22"/>
          <w:lang w:val="en-GB"/>
        </w:rPr>
        <w:t xml:space="preserve"> mission, is structured may impact the interpretation that is given to a particular</w:t>
      </w:r>
      <w:r w:rsidR="002F7CB8" w:rsidRPr="00E90F29">
        <w:rPr>
          <w:rFonts w:ascii="Arial" w:hAnsi="Arial" w:cs="Arial"/>
          <w:sz w:val="22"/>
          <w:szCs w:val="22"/>
          <w:lang w:val="en-GB"/>
        </w:rPr>
        <w:t xml:space="preserve"> human</w:t>
      </w:r>
      <w:r w:rsidRPr="00E90F29">
        <w:rPr>
          <w:rFonts w:ascii="Arial" w:hAnsi="Arial" w:cs="Arial"/>
          <w:sz w:val="22"/>
          <w:szCs w:val="22"/>
          <w:lang w:val="en-GB"/>
        </w:rPr>
        <w:t xml:space="preserve"> right. For instance, whilst the concept of “effective remedy” might carry a particular meaning within a state, which typically possesses general executive responsibilities and can rely on its judicial authorities</w:t>
      </w:r>
      <w:r w:rsidR="002F7CB8" w:rsidRPr="00E90F29">
        <w:rPr>
          <w:rFonts w:ascii="Arial" w:hAnsi="Arial" w:cs="Arial"/>
          <w:sz w:val="22"/>
          <w:szCs w:val="22"/>
          <w:lang w:val="en-GB"/>
        </w:rPr>
        <w:t xml:space="preserve"> to provide effective remedies</w:t>
      </w:r>
      <w:r w:rsidRPr="00E90F29">
        <w:rPr>
          <w:rFonts w:ascii="Arial" w:hAnsi="Arial" w:cs="Arial"/>
          <w:sz w:val="22"/>
          <w:szCs w:val="22"/>
          <w:lang w:val="en-GB"/>
        </w:rPr>
        <w:t>, the means by which a rule of law mission might ensure access to justice and an effective remedy for rights violations might be much narrower in scope and nature. The Panel has thus noted the following:</w:t>
      </w:r>
    </w:p>
    <w:p w14:paraId="0481129D" w14:textId="77777777" w:rsidR="007A55BA" w:rsidRPr="00E90F29" w:rsidRDefault="007A55BA" w:rsidP="00E90F29">
      <w:pPr>
        <w:pStyle w:val="ColorfulShading-Accent31"/>
        <w:spacing w:line="360" w:lineRule="auto"/>
        <w:contextualSpacing/>
        <w:jc w:val="both"/>
        <w:rPr>
          <w:rFonts w:ascii="Arial" w:hAnsi="Arial" w:cs="Arial"/>
          <w:sz w:val="22"/>
          <w:szCs w:val="22"/>
          <w:lang w:val="en-GB"/>
        </w:rPr>
      </w:pPr>
    </w:p>
    <w:p w14:paraId="66B3C303" w14:textId="77777777" w:rsidR="007A55BA" w:rsidRPr="00E90F29" w:rsidRDefault="007A55BA" w:rsidP="00E90F29">
      <w:pPr>
        <w:pStyle w:val="ColorfulShading-Accent31"/>
        <w:spacing w:line="360" w:lineRule="auto"/>
        <w:contextualSpacing/>
        <w:jc w:val="both"/>
        <w:rPr>
          <w:rFonts w:ascii="Arial" w:hAnsi="Arial" w:cs="Arial"/>
          <w:sz w:val="22"/>
          <w:szCs w:val="22"/>
          <w:lang w:val="en-GB"/>
        </w:rPr>
      </w:pPr>
      <w:r w:rsidRPr="00E90F29">
        <w:rPr>
          <w:rFonts w:ascii="Arial" w:hAnsi="Arial" w:cs="Arial"/>
          <w:sz w:val="22"/>
          <w:szCs w:val="22"/>
        </w:rPr>
        <w:t>“</w:t>
      </w:r>
      <w:r w:rsidRPr="00E90F29">
        <w:rPr>
          <w:rFonts w:ascii="Arial" w:hAnsi="Arial" w:cs="Arial"/>
          <w:sz w:val="22"/>
          <w:szCs w:val="22"/>
          <w:lang w:val="en-GB"/>
        </w:rPr>
        <w:t>The Panel is well aware that the notion of an effective remedy when applied in the context of a mission led by an international organisation cannot be construed in the same way as in the context of a national state. However, it needs to assess, having regard to the specificity of the legal situation of EULEX in that it enjoyed immunity and cases against its officials could not be directly pursued before the Kosovo courts, whether it addressed the complainant’s situation in a manner compatible with at least the minimum procedural requirements compatible with the notion of an effective remedy.”</w:t>
      </w:r>
      <w:r w:rsidRPr="00E90F29">
        <w:rPr>
          <w:rStyle w:val="FootnoteReference"/>
          <w:rFonts w:ascii="Arial" w:hAnsi="Arial" w:cs="Arial"/>
          <w:sz w:val="22"/>
          <w:szCs w:val="22"/>
          <w:lang w:val="en-GB"/>
        </w:rPr>
        <w:footnoteReference w:id="7"/>
      </w:r>
      <w:r w:rsidRPr="00E90F29">
        <w:rPr>
          <w:rFonts w:ascii="Arial" w:hAnsi="Arial" w:cs="Arial"/>
          <w:sz w:val="22"/>
          <w:szCs w:val="22"/>
          <w:lang w:val="en-GB"/>
        </w:rPr>
        <w:t xml:space="preserve"> </w:t>
      </w:r>
    </w:p>
    <w:p w14:paraId="194D29DA" w14:textId="77777777" w:rsidR="007A55BA" w:rsidRPr="00E90F29" w:rsidRDefault="007A55BA" w:rsidP="00E90F29">
      <w:pPr>
        <w:suppressAutoHyphens/>
        <w:autoSpaceDE w:val="0"/>
        <w:spacing w:line="360" w:lineRule="auto"/>
        <w:jc w:val="both"/>
        <w:rPr>
          <w:rFonts w:ascii="Arial" w:hAnsi="Arial" w:cs="Arial"/>
          <w:sz w:val="22"/>
          <w:szCs w:val="22"/>
          <w:lang w:val="en-GB"/>
        </w:rPr>
      </w:pPr>
    </w:p>
    <w:p w14:paraId="404B48EB" w14:textId="77777777" w:rsidR="007A55BA" w:rsidRPr="00E90F29" w:rsidRDefault="007A55BA" w:rsidP="00E90F29">
      <w:pPr>
        <w:pStyle w:val="ColorfulShading-Accent31"/>
        <w:spacing w:line="360" w:lineRule="auto"/>
        <w:ind w:left="0"/>
        <w:contextualSpacing/>
        <w:jc w:val="both"/>
        <w:rPr>
          <w:rFonts w:ascii="Arial" w:hAnsi="Arial" w:cs="Arial"/>
          <w:sz w:val="22"/>
          <w:szCs w:val="22"/>
          <w:lang w:val="en-GB"/>
        </w:rPr>
      </w:pPr>
      <w:r w:rsidRPr="00E90F29">
        <w:rPr>
          <w:rFonts w:ascii="Arial" w:hAnsi="Arial" w:cs="Arial"/>
          <w:sz w:val="22"/>
          <w:szCs w:val="22"/>
          <w:lang w:val="en-GB"/>
        </w:rPr>
        <w:t xml:space="preserve">The Panel added, however, that to the extent that EULEX has the mandate and the resources necessary to fulfil a government-like function as part of its executive mandate, it is required to perform those functions in compliance with human rights standards. In the words of the Panel: </w:t>
      </w:r>
    </w:p>
    <w:p w14:paraId="2339261B" w14:textId="77777777" w:rsidR="007A55BA" w:rsidRPr="00E90F29" w:rsidRDefault="007A55BA" w:rsidP="00E90F29">
      <w:pPr>
        <w:pStyle w:val="ColorfulShading-Accent31"/>
        <w:spacing w:line="360" w:lineRule="auto"/>
        <w:contextualSpacing/>
        <w:jc w:val="both"/>
        <w:rPr>
          <w:rFonts w:ascii="Arial" w:hAnsi="Arial" w:cs="Arial"/>
          <w:sz w:val="22"/>
          <w:szCs w:val="22"/>
          <w:lang w:val="en-GB"/>
        </w:rPr>
      </w:pPr>
    </w:p>
    <w:p w14:paraId="62779F44" w14:textId="77777777" w:rsidR="007A55BA" w:rsidRPr="00E90F29" w:rsidRDefault="007A55BA" w:rsidP="00E90F29">
      <w:pPr>
        <w:pStyle w:val="ColorfulShading-Accent31"/>
        <w:spacing w:line="360" w:lineRule="auto"/>
        <w:contextualSpacing/>
        <w:jc w:val="both"/>
        <w:rPr>
          <w:rFonts w:ascii="Arial" w:hAnsi="Arial" w:cs="Arial"/>
          <w:sz w:val="22"/>
          <w:szCs w:val="22"/>
          <w:lang w:val="en-GB"/>
        </w:rPr>
      </w:pPr>
      <w:r w:rsidRPr="00E90F29">
        <w:rPr>
          <w:rFonts w:ascii="Arial" w:hAnsi="Arial" w:cs="Arial"/>
          <w:sz w:val="22"/>
          <w:szCs w:val="22"/>
          <w:lang w:val="en-GB"/>
        </w:rPr>
        <w:t xml:space="preserve">“The Panel concludes that, as a result of insufficient resources allocated to the </w:t>
      </w:r>
      <w:proofErr w:type="spellStart"/>
      <w:r w:rsidRPr="00E90F29">
        <w:rPr>
          <w:rFonts w:ascii="Arial" w:hAnsi="Arial" w:cs="Arial"/>
          <w:sz w:val="22"/>
          <w:szCs w:val="22"/>
          <w:lang w:val="en-GB"/>
        </w:rPr>
        <w:t>Vidovdan</w:t>
      </w:r>
      <w:proofErr w:type="spellEnd"/>
      <w:r w:rsidRPr="00E90F29">
        <w:rPr>
          <w:rFonts w:ascii="Arial" w:hAnsi="Arial" w:cs="Arial"/>
          <w:sz w:val="22"/>
          <w:szCs w:val="22"/>
          <w:lang w:val="en-GB"/>
        </w:rPr>
        <w:t xml:space="preserve"> operation by EULEX with a view to ensuring respect for human rights, inadequate training and insufficient operational guidelines, complainant H and </w:t>
      </w:r>
      <w:r w:rsidRPr="00E90F29">
        <w:rPr>
          <w:rFonts w:ascii="Arial" w:hAnsi="Arial" w:cs="Arial"/>
          <w:sz w:val="22"/>
          <w:szCs w:val="22"/>
          <w:lang w:val="en-GB"/>
        </w:rPr>
        <w:lastRenderedPageBreak/>
        <w:t>G were denied the full and effective enjoyment of their right to respect to private life, freedom of assembly as well as right to exercise their religion safely and without unnecessary hindrance.”</w:t>
      </w:r>
      <w:r w:rsidRPr="00E90F29">
        <w:rPr>
          <w:rStyle w:val="FootnoteReference"/>
          <w:rFonts w:ascii="Arial" w:hAnsi="Arial" w:cs="Arial"/>
          <w:sz w:val="22"/>
          <w:szCs w:val="22"/>
          <w:lang w:val="en-GB"/>
        </w:rPr>
        <w:footnoteReference w:id="8"/>
      </w:r>
      <w:r w:rsidRPr="00E90F29">
        <w:rPr>
          <w:rFonts w:ascii="Arial" w:hAnsi="Arial" w:cs="Arial"/>
          <w:sz w:val="22"/>
          <w:szCs w:val="22"/>
          <w:lang w:val="en-GB"/>
        </w:rPr>
        <w:t xml:space="preserve"> </w:t>
      </w:r>
    </w:p>
    <w:p w14:paraId="2225DC28" w14:textId="77777777" w:rsidR="007A55BA" w:rsidRPr="00E90F29" w:rsidRDefault="007A55BA" w:rsidP="00E90F29">
      <w:pPr>
        <w:pStyle w:val="ColorfulShading-Accent31"/>
        <w:spacing w:line="360" w:lineRule="auto"/>
        <w:ind w:left="0"/>
        <w:contextualSpacing/>
        <w:jc w:val="both"/>
        <w:rPr>
          <w:rFonts w:ascii="Arial" w:hAnsi="Arial" w:cs="Arial"/>
          <w:sz w:val="22"/>
          <w:szCs w:val="22"/>
          <w:lang w:val="en-GB"/>
        </w:rPr>
      </w:pPr>
    </w:p>
    <w:p w14:paraId="63757A98" w14:textId="25CACCC6" w:rsidR="007A55BA" w:rsidRPr="00E90F29" w:rsidRDefault="007A55BA" w:rsidP="00E90F29">
      <w:pPr>
        <w:pStyle w:val="ColorfulShading-Accent31"/>
        <w:spacing w:line="360" w:lineRule="auto"/>
        <w:ind w:left="0"/>
        <w:contextualSpacing/>
        <w:jc w:val="both"/>
        <w:rPr>
          <w:rFonts w:ascii="Arial" w:hAnsi="Arial" w:cs="Arial"/>
          <w:sz w:val="22"/>
          <w:szCs w:val="22"/>
          <w:lang w:val="en-GB"/>
        </w:rPr>
      </w:pPr>
      <w:r w:rsidRPr="00E90F29">
        <w:rPr>
          <w:rFonts w:ascii="Arial" w:hAnsi="Arial" w:cs="Arial"/>
          <w:sz w:val="22"/>
          <w:szCs w:val="22"/>
          <w:lang w:val="en-GB"/>
        </w:rPr>
        <w:t xml:space="preserve">It should be noted here that international Missions such as EULEX might perform many of the same functions as a state and may thus present the same risks to human rights than might arise from a state’s actions. There is no reason of principle to suggest that </w:t>
      </w:r>
      <w:r w:rsidR="0014458D" w:rsidRPr="00E90F29">
        <w:rPr>
          <w:rFonts w:ascii="Arial" w:hAnsi="Arial" w:cs="Arial"/>
          <w:sz w:val="22"/>
          <w:szCs w:val="22"/>
          <w:lang w:val="en-GB"/>
        </w:rPr>
        <w:t>a Mission</w:t>
      </w:r>
      <w:r w:rsidRPr="00E90F29">
        <w:rPr>
          <w:rFonts w:ascii="Arial" w:hAnsi="Arial" w:cs="Arial"/>
          <w:sz w:val="22"/>
          <w:szCs w:val="22"/>
          <w:lang w:val="en-GB"/>
        </w:rPr>
        <w:t xml:space="preserve"> performing such state-like functions should be less accountable than a state when it comes to human rights protection. If anything else, there are specificities attached to this type of Missions that make it all the more important that they are required to uphold the standards of human rights binding on states. First, they are typically not subjected to the jurisdiction and competence of local court and, thus, to large extent unaccountable to local laws. Their mere existence thus constitutes an exception to universal accountability in the location where they operate. Secondly, because they perform very specialized functions, they might be better suited in some instances to adopt a tailor-made mechanism of accountability that can cater to these specificities and guarantee that operational effectiveness does not conflict with the need for accountability. Lastly, a heightened expectation of human rights compliance is in order where the core function of the mission is directed towards the upholding and reinforcement of the rule of law, as is with EULEX. The Panel has thus noted the following:</w:t>
      </w:r>
    </w:p>
    <w:p w14:paraId="2CECFBD3" w14:textId="77777777" w:rsidR="007A55BA" w:rsidRPr="00E90F29" w:rsidRDefault="007A55BA" w:rsidP="00E90F29">
      <w:pPr>
        <w:pStyle w:val="ColorfulShading-Accent31"/>
        <w:spacing w:line="360" w:lineRule="auto"/>
        <w:contextualSpacing/>
        <w:jc w:val="both"/>
        <w:rPr>
          <w:rFonts w:ascii="Arial" w:hAnsi="Arial" w:cs="Arial"/>
          <w:sz w:val="22"/>
          <w:szCs w:val="22"/>
          <w:lang w:val="en-GB"/>
        </w:rPr>
      </w:pPr>
    </w:p>
    <w:p w14:paraId="1A85A8FE" w14:textId="77777777" w:rsidR="007A55BA" w:rsidRPr="00E90F29" w:rsidRDefault="007A55BA" w:rsidP="00E90F29">
      <w:pPr>
        <w:pStyle w:val="ColorfulShading-Accent31"/>
        <w:spacing w:line="360" w:lineRule="auto"/>
        <w:contextualSpacing/>
        <w:jc w:val="both"/>
        <w:rPr>
          <w:rFonts w:ascii="Arial" w:hAnsi="Arial" w:cs="Arial"/>
          <w:sz w:val="22"/>
          <w:szCs w:val="22"/>
          <w:lang w:val="en-GB"/>
        </w:rPr>
      </w:pPr>
      <w:r w:rsidRPr="00E90F29">
        <w:rPr>
          <w:rFonts w:ascii="Arial" w:hAnsi="Arial" w:cs="Arial"/>
          <w:sz w:val="22"/>
          <w:szCs w:val="22"/>
          <w:lang w:val="en-GB"/>
        </w:rPr>
        <w:t>“Furthermore, as a rule of law mission, EULEX is expected to pay particularly close attention to the need for the restoration, maintenance and reinforcement of the rule of law. The effective investigation and prosecution of serious crimes is a particularly important feature of this aspect of EULEX’s mandate. It is therefore essential that the Mission should interpret the requirement of “exceptional circumstances” within the meaning of Article 7(A) of the Law No. 03/L-053 on Jurisdiction, Case Selection and Case Allocation […] in a way that is consistent with the fulfilment of that mandate. There is little difference between the ability of a State or a rule of law mission to prioritise the investigation of such crimes and to devote adequate time and resources to this operational priority […]</w:t>
      </w:r>
      <w:r w:rsidRPr="00E90F29">
        <w:rPr>
          <w:rFonts w:ascii="Arial" w:hAnsi="Arial" w:cs="Arial"/>
          <w:bCs/>
          <w:sz w:val="22"/>
          <w:szCs w:val="22"/>
          <w:lang w:val="en-GB"/>
        </w:rPr>
        <w:t xml:space="preserve">.” </w:t>
      </w:r>
      <w:r w:rsidRPr="00E90F29">
        <w:rPr>
          <w:rStyle w:val="FootnoteReference"/>
          <w:rFonts w:ascii="Arial" w:hAnsi="Arial" w:cs="Arial"/>
          <w:sz w:val="22"/>
          <w:szCs w:val="22"/>
          <w:lang w:val="en-GB"/>
        </w:rPr>
        <w:footnoteReference w:id="9"/>
      </w:r>
      <w:r w:rsidRPr="00E90F29">
        <w:rPr>
          <w:rFonts w:ascii="Arial" w:hAnsi="Arial" w:cs="Arial"/>
          <w:sz w:val="22"/>
          <w:szCs w:val="22"/>
          <w:lang w:val="en-GB"/>
        </w:rPr>
        <w:t xml:space="preserve"> </w:t>
      </w:r>
    </w:p>
    <w:p w14:paraId="14B0DBDD" w14:textId="77777777" w:rsidR="007A55BA" w:rsidRPr="00E90F29" w:rsidRDefault="007A55BA" w:rsidP="00E90F29">
      <w:pPr>
        <w:pStyle w:val="ColorfulShading-Accent31"/>
        <w:spacing w:line="360" w:lineRule="auto"/>
        <w:contextualSpacing/>
        <w:jc w:val="both"/>
        <w:rPr>
          <w:rFonts w:ascii="Arial" w:hAnsi="Arial" w:cs="Arial"/>
          <w:sz w:val="22"/>
          <w:szCs w:val="22"/>
          <w:lang w:val="en-GB"/>
        </w:rPr>
      </w:pPr>
    </w:p>
    <w:p w14:paraId="49A73DFC" w14:textId="5FEF5A9D" w:rsidR="008732C4" w:rsidRPr="00E90F29" w:rsidRDefault="007A55BA" w:rsidP="00E90F29">
      <w:pPr>
        <w:spacing w:line="360" w:lineRule="auto"/>
        <w:jc w:val="both"/>
        <w:rPr>
          <w:rFonts w:ascii="Arial" w:hAnsi="Arial" w:cs="Arial"/>
          <w:sz w:val="22"/>
          <w:szCs w:val="22"/>
          <w:lang w:val="en-GB"/>
        </w:rPr>
      </w:pPr>
      <w:r w:rsidRPr="00E90F29">
        <w:rPr>
          <w:rFonts w:ascii="Arial" w:hAnsi="Arial" w:cs="Arial"/>
          <w:sz w:val="22"/>
          <w:szCs w:val="22"/>
          <w:lang w:val="en-GB"/>
        </w:rPr>
        <w:t>In evaluating the extent to which a mission such as EULEX should be expected to comply with human rights standards normally applicable to states, the Panel has therefore taken into consideration a number of relevant factors, including the nature and scope of the mission’s mandate, the amount and nature of resources at its disposal to perform its functions, particular operational difficulties associated with the performance of its mandate and the absence of normally available state powers that enable enforcing the will and authority of the state.</w:t>
      </w:r>
    </w:p>
    <w:p w14:paraId="4C72B2F5" w14:textId="77777777" w:rsidR="008732C4" w:rsidRPr="00E90F29" w:rsidRDefault="008732C4" w:rsidP="00E90F29">
      <w:pPr>
        <w:spacing w:line="360" w:lineRule="auto"/>
        <w:jc w:val="both"/>
        <w:rPr>
          <w:rFonts w:ascii="Arial" w:hAnsi="Arial" w:cs="Arial"/>
          <w:sz w:val="22"/>
          <w:szCs w:val="22"/>
          <w:lang w:val="en-GB"/>
        </w:rPr>
      </w:pPr>
    </w:p>
    <w:p w14:paraId="75117890" w14:textId="67B432D4" w:rsidR="002234EB" w:rsidRPr="00E90F29" w:rsidRDefault="002234EB" w:rsidP="00E90F29">
      <w:pPr>
        <w:pStyle w:val="Heading1"/>
      </w:pPr>
      <w:bookmarkStart w:id="6" w:name="_Toc513713950"/>
      <w:r w:rsidRPr="00E90F29">
        <w:t>Substantive protected rights</w:t>
      </w:r>
      <w:bookmarkEnd w:id="6"/>
      <w:r w:rsidRPr="00E90F29">
        <w:t xml:space="preserve"> </w:t>
      </w:r>
    </w:p>
    <w:p w14:paraId="1C1C5880" w14:textId="77777777" w:rsidR="008732C4" w:rsidRPr="00E90F29" w:rsidRDefault="008732C4" w:rsidP="00E90F29">
      <w:pPr>
        <w:pStyle w:val="ListParagraph"/>
        <w:spacing w:line="360" w:lineRule="auto"/>
        <w:jc w:val="both"/>
        <w:rPr>
          <w:rFonts w:ascii="Arial" w:hAnsi="Arial" w:cs="Arial"/>
          <w:b/>
          <w:sz w:val="22"/>
          <w:szCs w:val="22"/>
          <w:lang w:val="en-GB"/>
        </w:rPr>
      </w:pPr>
    </w:p>
    <w:p w14:paraId="371D5D9C" w14:textId="6A449DBE" w:rsidR="00D31187" w:rsidRPr="00E90F29" w:rsidRDefault="00F71527" w:rsidP="00E90F29">
      <w:pPr>
        <w:pStyle w:val="Heading2"/>
      </w:pPr>
      <w:bookmarkStart w:id="7" w:name="_Toc513713951"/>
      <w:r w:rsidRPr="00E90F29">
        <w:t xml:space="preserve">3.1 </w:t>
      </w:r>
      <w:r w:rsidR="00D31187" w:rsidRPr="00E90F29">
        <w:t>General considerations</w:t>
      </w:r>
      <w:bookmarkEnd w:id="7"/>
      <w:r w:rsidR="00D31187" w:rsidRPr="00E90F29">
        <w:t xml:space="preserve"> </w:t>
      </w:r>
    </w:p>
    <w:p w14:paraId="16279BA2" w14:textId="7E14A8AC" w:rsidR="00A476D8" w:rsidRPr="00E90F29" w:rsidRDefault="00A476D8" w:rsidP="00E90F29">
      <w:pPr>
        <w:spacing w:line="360" w:lineRule="auto"/>
        <w:jc w:val="both"/>
        <w:rPr>
          <w:rFonts w:ascii="Arial" w:hAnsi="Arial" w:cs="Arial"/>
          <w:b/>
          <w:color w:val="4F81BD" w:themeColor="accent1"/>
          <w:sz w:val="22"/>
          <w:szCs w:val="22"/>
          <w:lang w:val="en-GB"/>
        </w:rPr>
      </w:pPr>
      <w:r w:rsidRPr="00E90F29">
        <w:rPr>
          <w:rFonts w:ascii="Arial" w:hAnsi="Arial" w:cs="Arial"/>
          <w:color w:val="000000"/>
          <w:sz w:val="22"/>
          <w:szCs w:val="22"/>
        </w:rPr>
        <w:t xml:space="preserve">The Panel dealt with various substantive </w:t>
      </w:r>
      <w:r w:rsidR="0014458D" w:rsidRPr="00E90F29">
        <w:rPr>
          <w:rFonts w:ascii="Arial" w:hAnsi="Arial" w:cs="Arial"/>
          <w:color w:val="000000"/>
          <w:sz w:val="22"/>
          <w:szCs w:val="22"/>
        </w:rPr>
        <w:t>relevant to the cases brought before it</w:t>
      </w:r>
      <w:r w:rsidRPr="00E90F29">
        <w:rPr>
          <w:rFonts w:ascii="Arial" w:hAnsi="Arial" w:cs="Arial"/>
          <w:color w:val="000000"/>
          <w:sz w:val="22"/>
          <w:szCs w:val="22"/>
        </w:rPr>
        <w:t>.  Some of these issues related to Article 8 ECHR (Right to respect for private and family life), Article 9 ECHR (Freedom of thought, conscience and religion), Article 11 ECHR (Freedom of assembly and association) and Article 13 ECHR (Right to an effective remedy). The said substantive issues also related to Article</w:t>
      </w:r>
      <w:r w:rsidR="0014458D" w:rsidRPr="00E90F29">
        <w:rPr>
          <w:rFonts w:ascii="Arial" w:hAnsi="Arial" w:cs="Arial"/>
          <w:color w:val="000000"/>
          <w:sz w:val="22"/>
          <w:szCs w:val="22"/>
        </w:rPr>
        <w:t>s, 2, 17, 18, 21 and 22 of the I</w:t>
      </w:r>
      <w:r w:rsidRPr="00E90F29">
        <w:rPr>
          <w:rFonts w:ascii="Arial" w:hAnsi="Arial" w:cs="Arial"/>
          <w:color w:val="000000"/>
          <w:sz w:val="22"/>
          <w:szCs w:val="22"/>
        </w:rPr>
        <w:t>CCPR, (see, e.g. Case nos. </w:t>
      </w:r>
      <w:hyperlink r:id="rId9" w:history="1">
        <w:r w:rsidRPr="00E90F29">
          <w:rPr>
            <w:rStyle w:val="Hyperlink"/>
            <w:rFonts w:ascii="Arial" w:hAnsi="Arial" w:cs="Arial"/>
            <w:color w:val="E86E0B"/>
            <w:sz w:val="22"/>
            <w:szCs w:val="22"/>
          </w:rPr>
          <w:t>2012-09 to 2012-12</w:t>
        </w:r>
      </w:hyperlink>
      <w:r w:rsidRPr="00E90F29">
        <w:rPr>
          <w:rFonts w:ascii="Arial" w:hAnsi="Arial" w:cs="Arial"/>
          <w:color w:val="000000"/>
          <w:sz w:val="22"/>
          <w:szCs w:val="22"/>
        </w:rPr>
        <w:t>, A, B, C and D, Case nos. </w:t>
      </w:r>
      <w:hyperlink r:id="rId10" w:history="1">
        <w:r w:rsidRPr="00E90F29">
          <w:rPr>
            <w:rStyle w:val="Hyperlink"/>
            <w:rFonts w:ascii="Arial" w:hAnsi="Arial" w:cs="Arial"/>
            <w:color w:val="E86E0B"/>
            <w:sz w:val="22"/>
            <w:szCs w:val="22"/>
          </w:rPr>
          <w:t>2012-19 and 2012-20</w:t>
        </w:r>
      </w:hyperlink>
      <w:r w:rsidRPr="00E90F29">
        <w:rPr>
          <w:rFonts w:ascii="Arial" w:hAnsi="Arial" w:cs="Arial"/>
          <w:color w:val="000000"/>
          <w:sz w:val="22"/>
          <w:szCs w:val="22"/>
        </w:rPr>
        <w:t>, H and G Against EULEX Kosovo, (“</w:t>
      </w:r>
      <w:proofErr w:type="spellStart"/>
      <w:r w:rsidRPr="00E90F29">
        <w:rPr>
          <w:rFonts w:ascii="Arial" w:hAnsi="Arial" w:cs="Arial"/>
          <w:color w:val="000000"/>
          <w:sz w:val="22"/>
          <w:szCs w:val="22"/>
        </w:rPr>
        <w:t>Vidovdan</w:t>
      </w:r>
      <w:proofErr w:type="spellEnd"/>
      <w:r w:rsidRPr="00E90F29">
        <w:rPr>
          <w:rFonts w:ascii="Arial" w:hAnsi="Arial" w:cs="Arial"/>
          <w:color w:val="000000"/>
          <w:sz w:val="22"/>
          <w:szCs w:val="22"/>
        </w:rPr>
        <w:t xml:space="preserve"> Cases”) as well as Case no. </w:t>
      </w:r>
      <w:hyperlink r:id="rId11" w:tgtFrame="_blank" w:history="1">
        <w:r w:rsidRPr="00E90F29">
          <w:rPr>
            <w:rStyle w:val="Hyperlink"/>
            <w:rFonts w:ascii="Arial" w:hAnsi="Arial" w:cs="Arial"/>
            <w:color w:val="E86E0B"/>
            <w:sz w:val="22"/>
            <w:szCs w:val="22"/>
          </w:rPr>
          <w:t>2014-37</w:t>
        </w:r>
      </w:hyperlink>
      <w:r w:rsidRPr="00E90F29">
        <w:rPr>
          <w:rFonts w:ascii="Arial" w:hAnsi="Arial" w:cs="Arial"/>
          <w:color w:val="000000"/>
          <w:sz w:val="22"/>
          <w:szCs w:val="22"/>
        </w:rPr>
        <w:t>, YB Against EULEX.</w:t>
      </w:r>
      <w:r w:rsidR="00B77304" w:rsidRPr="00E90F29">
        <w:rPr>
          <w:rFonts w:ascii="Arial" w:hAnsi="Arial" w:cs="Arial"/>
          <w:color w:val="000000"/>
          <w:sz w:val="22"/>
          <w:szCs w:val="22"/>
        </w:rPr>
        <w:t xml:space="preserve"> </w:t>
      </w:r>
      <w:r w:rsidRPr="00E90F29">
        <w:rPr>
          <w:rFonts w:ascii="Arial" w:hAnsi="Arial" w:cs="Arial"/>
          <w:color w:val="000000"/>
          <w:sz w:val="22"/>
          <w:szCs w:val="22"/>
        </w:rPr>
        <w:t>The Panel further ruled on Article 2 ECHR (Right to life), Article 3 ECHR (Prohibition of torture and inhuman or degrading treatment) and Article 13 in conjunction with Article 2 ECHR (see, e.g., Case nos. </w:t>
      </w:r>
      <w:hyperlink r:id="rId12" w:history="1">
        <w:r w:rsidRPr="00E90F29">
          <w:rPr>
            <w:rStyle w:val="Hyperlink"/>
            <w:rFonts w:ascii="Arial" w:hAnsi="Arial" w:cs="Arial"/>
            <w:color w:val="E86E0B"/>
            <w:sz w:val="22"/>
            <w:szCs w:val="22"/>
          </w:rPr>
          <w:t>2014-11 to 2014-17</w:t>
        </w:r>
      </w:hyperlink>
      <w:r w:rsidRPr="00E90F29">
        <w:rPr>
          <w:rFonts w:ascii="Arial" w:hAnsi="Arial" w:cs="Arial"/>
          <w:color w:val="000000"/>
          <w:sz w:val="22"/>
          <w:szCs w:val="22"/>
        </w:rPr>
        <w:t xml:space="preserve">, D.W., E.V., F.U., G.T., </w:t>
      </w:r>
      <w:proofErr w:type="spellStart"/>
      <w:r w:rsidRPr="00E90F29">
        <w:rPr>
          <w:rFonts w:ascii="Arial" w:hAnsi="Arial" w:cs="Arial"/>
          <w:color w:val="000000"/>
          <w:sz w:val="22"/>
          <w:szCs w:val="22"/>
        </w:rPr>
        <w:t>Zlata</w:t>
      </w:r>
      <w:proofErr w:type="spellEnd"/>
      <w:r w:rsidRPr="00E90F29">
        <w:rPr>
          <w:rFonts w:ascii="Arial" w:hAnsi="Arial" w:cs="Arial"/>
          <w:color w:val="000000"/>
          <w:sz w:val="22"/>
          <w:szCs w:val="22"/>
        </w:rPr>
        <w:t xml:space="preserve"> </w:t>
      </w:r>
      <w:proofErr w:type="spellStart"/>
      <w:r w:rsidRPr="00E90F29">
        <w:rPr>
          <w:rFonts w:ascii="Arial" w:hAnsi="Arial" w:cs="Arial"/>
          <w:color w:val="000000"/>
          <w:sz w:val="22"/>
          <w:szCs w:val="22"/>
        </w:rPr>
        <w:t>Veselinovic</w:t>
      </w:r>
      <w:proofErr w:type="spellEnd"/>
      <w:r w:rsidRPr="00E90F29">
        <w:rPr>
          <w:rFonts w:ascii="Arial" w:hAnsi="Arial" w:cs="Arial"/>
          <w:color w:val="000000"/>
          <w:sz w:val="22"/>
          <w:szCs w:val="22"/>
        </w:rPr>
        <w:t>, H.S., and I.R. as well as Case no. </w:t>
      </w:r>
      <w:hyperlink r:id="rId13" w:history="1">
        <w:r w:rsidRPr="00E90F29">
          <w:rPr>
            <w:rStyle w:val="Hyperlink"/>
            <w:rFonts w:ascii="Arial" w:hAnsi="Arial" w:cs="Arial"/>
            <w:color w:val="E86E0B"/>
            <w:sz w:val="22"/>
            <w:szCs w:val="22"/>
          </w:rPr>
          <w:t>2014-32</w:t>
        </w:r>
      </w:hyperlink>
      <w:r w:rsidRPr="00E90F29">
        <w:rPr>
          <w:rFonts w:ascii="Arial" w:hAnsi="Arial" w:cs="Arial"/>
          <w:color w:val="000000"/>
          <w:sz w:val="22"/>
          <w:szCs w:val="22"/>
        </w:rPr>
        <w:t>, L.O. Against EULEX and Case no. </w:t>
      </w:r>
      <w:hyperlink r:id="rId14" w:history="1">
        <w:r w:rsidRPr="00E90F29">
          <w:rPr>
            <w:rStyle w:val="Hyperlink"/>
            <w:rFonts w:ascii="Arial" w:hAnsi="Arial" w:cs="Arial"/>
            <w:color w:val="E86E0B"/>
            <w:sz w:val="22"/>
            <w:szCs w:val="22"/>
          </w:rPr>
          <w:t>2014-34</w:t>
        </w:r>
      </w:hyperlink>
      <w:r w:rsidRPr="00E90F29">
        <w:rPr>
          <w:rFonts w:ascii="Arial" w:hAnsi="Arial" w:cs="Arial"/>
          <w:color w:val="000000"/>
          <w:sz w:val="22"/>
          <w:szCs w:val="22"/>
        </w:rPr>
        <w:t xml:space="preserve">, </w:t>
      </w:r>
      <w:proofErr w:type="spellStart"/>
      <w:r w:rsidRPr="00E90F29">
        <w:rPr>
          <w:rFonts w:ascii="Arial" w:hAnsi="Arial" w:cs="Arial"/>
          <w:color w:val="000000"/>
          <w:sz w:val="22"/>
          <w:szCs w:val="22"/>
        </w:rPr>
        <w:t>Rejhane</w:t>
      </w:r>
      <w:proofErr w:type="spellEnd"/>
      <w:r w:rsidRPr="00E90F29">
        <w:rPr>
          <w:rFonts w:ascii="Arial" w:hAnsi="Arial" w:cs="Arial"/>
          <w:color w:val="000000"/>
          <w:sz w:val="22"/>
          <w:szCs w:val="22"/>
        </w:rPr>
        <w:t xml:space="preserve"> </w:t>
      </w:r>
      <w:proofErr w:type="spellStart"/>
      <w:r w:rsidRPr="00E90F29">
        <w:rPr>
          <w:rFonts w:ascii="Arial" w:hAnsi="Arial" w:cs="Arial"/>
          <w:color w:val="000000"/>
          <w:sz w:val="22"/>
          <w:szCs w:val="22"/>
        </w:rPr>
        <w:t>Sadiku-Syla</w:t>
      </w:r>
      <w:proofErr w:type="spellEnd"/>
      <w:r w:rsidRPr="00E90F29">
        <w:rPr>
          <w:rFonts w:ascii="Arial" w:hAnsi="Arial" w:cs="Arial"/>
          <w:color w:val="000000"/>
          <w:sz w:val="22"/>
          <w:szCs w:val="22"/>
        </w:rPr>
        <w:t xml:space="preserve"> Against EULEX).</w:t>
      </w:r>
      <w:r w:rsidR="00B77304" w:rsidRPr="00E90F29">
        <w:rPr>
          <w:rFonts w:ascii="Arial" w:hAnsi="Arial" w:cs="Arial"/>
          <w:color w:val="000000"/>
          <w:sz w:val="22"/>
          <w:szCs w:val="22"/>
        </w:rPr>
        <w:t xml:space="preserve"> </w:t>
      </w:r>
    </w:p>
    <w:p w14:paraId="362DD9F4" w14:textId="30527FEF" w:rsidR="00A03512" w:rsidRPr="00E90F29" w:rsidRDefault="00B77304" w:rsidP="00E90F29">
      <w:pPr>
        <w:pStyle w:val="NormalWeb"/>
        <w:spacing w:line="360" w:lineRule="auto"/>
        <w:jc w:val="both"/>
        <w:rPr>
          <w:rFonts w:ascii="Arial" w:hAnsi="Arial" w:cs="Arial"/>
          <w:color w:val="000000"/>
          <w:sz w:val="22"/>
          <w:szCs w:val="22"/>
        </w:rPr>
      </w:pPr>
      <w:r w:rsidRPr="00E90F29">
        <w:rPr>
          <w:rFonts w:ascii="Arial" w:hAnsi="Arial" w:cs="Arial"/>
          <w:color w:val="000000"/>
          <w:sz w:val="22"/>
          <w:szCs w:val="22"/>
        </w:rPr>
        <w:t xml:space="preserve">Because of the relatively limited number of cases coming before the Panel, the </w:t>
      </w:r>
      <w:r w:rsidR="0014458D" w:rsidRPr="00E90F29">
        <w:rPr>
          <w:rFonts w:ascii="Arial" w:hAnsi="Arial" w:cs="Arial"/>
          <w:color w:val="000000"/>
          <w:sz w:val="22"/>
          <w:szCs w:val="22"/>
        </w:rPr>
        <w:t>caselaw of the Panel often dealt</w:t>
      </w:r>
      <w:r w:rsidRPr="00E90F29">
        <w:rPr>
          <w:rFonts w:ascii="Arial" w:hAnsi="Arial" w:cs="Arial"/>
          <w:color w:val="000000"/>
          <w:sz w:val="22"/>
          <w:szCs w:val="22"/>
        </w:rPr>
        <w:t xml:space="preserve"> with only certain aspects of these rights. It reflects, however, minimum standards of human rights applicable in any democratic system and, in most cases, tracks the approach of the European Court of Human Rights in regards to the tenor and meaning of these rights. As such, it also makes a valuable contribution to the growing body of international jurisprudence in matters of human rights. </w:t>
      </w:r>
    </w:p>
    <w:p w14:paraId="18852B94" w14:textId="77777777" w:rsidR="00A03512" w:rsidRPr="00E90F29" w:rsidRDefault="00A03512" w:rsidP="00E90F29">
      <w:pPr>
        <w:spacing w:line="360" w:lineRule="auto"/>
        <w:jc w:val="both"/>
        <w:rPr>
          <w:rFonts w:ascii="Arial" w:hAnsi="Arial" w:cs="Arial"/>
          <w:sz w:val="22"/>
          <w:szCs w:val="22"/>
          <w:lang w:val="en-GB"/>
        </w:rPr>
      </w:pPr>
    </w:p>
    <w:p w14:paraId="129B37B1" w14:textId="4F07A937" w:rsidR="002234EB" w:rsidRPr="00E90F29" w:rsidRDefault="00F71527" w:rsidP="00E90F29">
      <w:pPr>
        <w:pStyle w:val="Heading2"/>
      </w:pPr>
      <w:bookmarkStart w:id="8" w:name="_Toc513713952"/>
      <w:r w:rsidRPr="00E90F29">
        <w:t xml:space="preserve">3.2 </w:t>
      </w:r>
      <w:r w:rsidR="002234EB" w:rsidRPr="00E90F29">
        <w:t>Right to life</w:t>
      </w:r>
      <w:bookmarkEnd w:id="8"/>
      <w:r w:rsidR="002234EB" w:rsidRPr="00E90F29">
        <w:t xml:space="preserve"> </w:t>
      </w:r>
    </w:p>
    <w:p w14:paraId="1412F83E" w14:textId="4C4963CF" w:rsidR="00883EB0" w:rsidRPr="00E90F29" w:rsidRDefault="00AC5B01" w:rsidP="00E90F29">
      <w:pPr>
        <w:pStyle w:val="Heading3"/>
      </w:pPr>
      <w:bookmarkStart w:id="9" w:name="_Toc513713953"/>
      <w:r w:rsidRPr="00E90F29">
        <w:t xml:space="preserve">3.2.1 </w:t>
      </w:r>
      <w:r w:rsidR="00883EB0" w:rsidRPr="00E90F29">
        <w:t>General considerations</w:t>
      </w:r>
      <w:bookmarkEnd w:id="9"/>
      <w:r w:rsidR="00883EB0" w:rsidRPr="00E90F29">
        <w:t xml:space="preserve"> </w:t>
      </w:r>
    </w:p>
    <w:p w14:paraId="3DB0E07F" w14:textId="2BCA4181" w:rsidR="00A03512" w:rsidRPr="00E90F29" w:rsidRDefault="00A03512" w:rsidP="00E90F29">
      <w:pPr>
        <w:spacing w:line="360" w:lineRule="auto"/>
        <w:jc w:val="both"/>
        <w:rPr>
          <w:rFonts w:ascii="Arial" w:hAnsi="Arial" w:cs="Arial"/>
          <w:sz w:val="22"/>
          <w:szCs w:val="22"/>
          <w:lang w:val="en-GB"/>
        </w:rPr>
      </w:pPr>
      <w:r w:rsidRPr="00E90F29">
        <w:rPr>
          <w:rFonts w:ascii="Arial" w:hAnsi="Arial" w:cs="Arial"/>
          <w:sz w:val="22"/>
          <w:szCs w:val="22"/>
          <w:lang w:val="en-GB"/>
        </w:rPr>
        <w:t>The bulk of the Panel’s cases pertaining to the right to life have come within the context of enforced disappearance cases (and war-killings). The body of jurisprudence arising from these cases has been fully addressed in the Panel’s case-note pertaining to that issue (</w:t>
      </w:r>
      <w:hyperlink r:id="rId15" w:history="1">
        <w:r w:rsidRPr="00E90F29">
          <w:rPr>
            <w:rStyle w:val="Hyperlink"/>
            <w:rFonts w:ascii="Arial" w:hAnsi="Arial" w:cs="Arial"/>
            <w:sz w:val="22"/>
            <w:szCs w:val="22"/>
            <w:lang w:val="en-GB"/>
          </w:rPr>
          <w:t>http://www.hrrp.eu/docs/Case%20law%20Note%20on%20Disappearance.pdf</w:t>
        </w:r>
      </w:hyperlink>
      <w:r w:rsidRPr="00E90F29">
        <w:rPr>
          <w:rFonts w:ascii="Arial" w:hAnsi="Arial" w:cs="Arial"/>
          <w:sz w:val="22"/>
          <w:szCs w:val="22"/>
          <w:lang w:val="en-GB"/>
        </w:rPr>
        <w:t>) and its “White Paper” devoted to the same topic (</w:t>
      </w:r>
      <w:r w:rsidRPr="00E90F29">
        <w:rPr>
          <w:rFonts w:ascii="Arial" w:hAnsi="Arial" w:cs="Arial"/>
          <w:sz w:val="22"/>
          <w:szCs w:val="22"/>
          <w:highlight w:val="green"/>
          <w:lang w:val="en-GB"/>
        </w:rPr>
        <w:t>XXX</w:t>
      </w:r>
      <w:r w:rsidRPr="00E90F29">
        <w:rPr>
          <w:rFonts w:ascii="Arial" w:hAnsi="Arial" w:cs="Arial"/>
          <w:sz w:val="22"/>
          <w:szCs w:val="22"/>
          <w:lang w:val="en-GB"/>
        </w:rPr>
        <w:t xml:space="preserve">). </w:t>
      </w:r>
    </w:p>
    <w:p w14:paraId="5B61EF38" w14:textId="77777777" w:rsidR="007B3B0E" w:rsidRPr="00E90F29" w:rsidRDefault="007B3B0E" w:rsidP="00E90F29">
      <w:pPr>
        <w:spacing w:line="360" w:lineRule="auto"/>
        <w:jc w:val="both"/>
        <w:rPr>
          <w:rFonts w:ascii="Arial" w:hAnsi="Arial" w:cs="Arial"/>
          <w:sz w:val="22"/>
          <w:szCs w:val="22"/>
          <w:lang w:val="en-GB"/>
        </w:rPr>
      </w:pPr>
    </w:p>
    <w:p w14:paraId="583927D4" w14:textId="4C29B10D" w:rsidR="00883EB0" w:rsidRPr="00E90F29" w:rsidRDefault="00A03512" w:rsidP="00E90F29">
      <w:pPr>
        <w:pStyle w:val="Heading3"/>
      </w:pPr>
      <w:bookmarkStart w:id="10" w:name="_Toc513713954"/>
      <w:r w:rsidRPr="00E90F29">
        <w:t>3.2.</w:t>
      </w:r>
      <w:r w:rsidR="008732EF" w:rsidRPr="00E90F29">
        <w:t>2</w:t>
      </w:r>
      <w:r w:rsidR="00AC5B01" w:rsidRPr="00E90F29">
        <w:t xml:space="preserve"> </w:t>
      </w:r>
      <w:r w:rsidRPr="00E90F29">
        <w:t>Substantive and p</w:t>
      </w:r>
      <w:r w:rsidR="00883EB0" w:rsidRPr="00E90F29">
        <w:t>rocedural right</w:t>
      </w:r>
      <w:r w:rsidR="00B45389" w:rsidRPr="00E90F29">
        <w:t xml:space="preserve"> associated with the right to life</w:t>
      </w:r>
      <w:bookmarkEnd w:id="10"/>
      <w:r w:rsidR="00B45389" w:rsidRPr="00E90F29">
        <w:t xml:space="preserve"> </w:t>
      </w:r>
    </w:p>
    <w:p w14:paraId="36CA13C1" w14:textId="6C853DD8" w:rsidR="00883EB0" w:rsidRPr="00E90F29" w:rsidRDefault="00A03512"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Panel </w:t>
      </w:r>
      <w:r w:rsidR="0014458D" w:rsidRPr="00E90F29">
        <w:rPr>
          <w:rFonts w:ascii="Arial" w:hAnsi="Arial" w:cs="Arial"/>
          <w:sz w:val="22"/>
          <w:szCs w:val="22"/>
          <w:lang w:val="en-GB"/>
        </w:rPr>
        <w:t xml:space="preserve">has </w:t>
      </w:r>
      <w:r w:rsidRPr="00E90F29">
        <w:rPr>
          <w:rFonts w:ascii="Arial" w:hAnsi="Arial" w:cs="Arial"/>
          <w:sz w:val="22"/>
          <w:szCs w:val="22"/>
          <w:lang w:val="en-GB"/>
        </w:rPr>
        <w:t xml:space="preserve">confirmed </w:t>
      </w:r>
      <w:r w:rsidR="0014458D" w:rsidRPr="00E90F29">
        <w:rPr>
          <w:rFonts w:ascii="Arial" w:hAnsi="Arial" w:cs="Arial"/>
          <w:sz w:val="22"/>
          <w:szCs w:val="22"/>
          <w:lang w:val="en-GB"/>
        </w:rPr>
        <w:t xml:space="preserve">and adopted </w:t>
      </w:r>
      <w:r w:rsidRPr="00E90F29">
        <w:rPr>
          <w:rFonts w:ascii="Arial" w:hAnsi="Arial" w:cs="Arial"/>
          <w:sz w:val="22"/>
          <w:szCs w:val="22"/>
          <w:lang w:val="en-GB"/>
        </w:rPr>
        <w:t xml:space="preserve">the core of </w:t>
      </w:r>
      <w:r w:rsidR="00FF144E" w:rsidRPr="00E90F29">
        <w:rPr>
          <w:rFonts w:ascii="Arial" w:hAnsi="Arial" w:cs="Arial"/>
          <w:sz w:val="22"/>
          <w:szCs w:val="22"/>
          <w:lang w:val="en-GB"/>
        </w:rPr>
        <w:t xml:space="preserve">the law of the right to life, as recognised and upheld before the European Court of Human Rights. In particular, the Panel </w:t>
      </w:r>
      <w:r w:rsidR="0014458D" w:rsidRPr="00E90F29">
        <w:rPr>
          <w:rFonts w:ascii="Arial" w:hAnsi="Arial" w:cs="Arial"/>
          <w:sz w:val="22"/>
          <w:szCs w:val="22"/>
          <w:lang w:val="en-GB"/>
        </w:rPr>
        <w:t xml:space="preserve">has </w:t>
      </w:r>
      <w:r w:rsidR="00FF144E" w:rsidRPr="00E90F29">
        <w:rPr>
          <w:rFonts w:ascii="Arial" w:hAnsi="Arial" w:cs="Arial"/>
          <w:sz w:val="22"/>
          <w:szCs w:val="22"/>
          <w:lang w:val="en-GB"/>
        </w:rPr>
        <w:t xml:space="preserve">recognised that the right to life consisted of both a </w:t>
      </w:r>
      <w:r w:rsidR="00FF144E" w:rsidRPr="00E90F29">
        <w:rPr>
          <w:rFonts w:ascii="Arial" w:hAnsi="Arial" w:cs="Arial"/>
          <w:i/>
          <w:sz w:val="22"/>
          <w:szCs w:val="22"/>
          <w:lang w:val="en-GB"/>
        </w:rPr>
        <w:t>substantive</w:t>
      </w:r>
      <w:r w:rsidR="00FF144E" w:rsidRPr="00E90F29">
        <w:rPr>
          <w:rFonts w:ascii="Arial" w:hAnsi="Arial" w:cs="Arial"/>
          <w:sz w:val="22"/>
          <w:szCs w:val="22"/>
          <w:lang w:val="en-GB"/>
        </w:rPr>
        <w:t xml:space="preserve"> right (to have one’s life being protected) and associated </w:t>
      </w:r>
      <w:r w:rsidR="00FF144E" w:rsidRPr="00E90F29">
        <w:rPr>
          <w:rFonts w:ascii="Arial" w:hAnsi="Arial" w:cs="Arial"/>
          <w:i/>
          <w:sz w:val="22"/>
          <w:szCs w:val="22"/>
          <w:lang w:val="en-GB"/>
        </w:rPr>
        <w:t>procedural</w:t>
      </w:r>
      <w:r w:rsidR="00FF144E" w:rsidRPr="00E90F29">
        <w:rPr>
          <w:rFonts w:ascii="Arial" w:hAnsi="Arial" w:cs="Arial"/>
          <w:sz w:val="22"/>
          <w:szCs w:val="22"/>
          <w:lang w:val="en-GB"/>
        </w:rPr>
        <w:t xml:space="preserve"> rights (where loss of life occurred in suspicious circumstances suggesting a violation of that right).</w:t>
      </w:r>
      <w:r w:rsidR="00FF144E" w:rsidRPr="00E90F29">
        <w:rPr>
          <w:rStyle w:val="FootnoteReference"/>
          <w:rFonts w:ascii="Arial" w:hAnsi="Arial" w:cs="Arial"/>
          <w:sz w:val="22"/>
          <w:szCs w:val="22"/>
          <w:lang w:val="en-GB"/>
        </w:rPr>
        <w:footnoteReference w:id="10"/>
      </w:r>
      <w:r w:rsidR="00FF144E" w:rsidRPr="00E90F29">
        <w:rPr>
          <w:rFonts w:ascii="Arial" w:hAnsi="Arial" w:cs="Arial"/>
          <w:sz w:val="22"/>
          <w:szCs w:val="22"/>
          <w:lang w:val="en-GB"/>
        </w:rPr>
        <w:t xml:space="preserve"> The latter right implies a right (and obligation on the part of the authorities) to </w:t>
      </w:r>
      <w:r w:rsidR="0014458D" w:rsidRPr="00E90F29">
        <w:rPr>
          <w:rFonts w:ascii="Arial" w:hAnsi="Arial" w:cs="Arial"/>
          <w:sz w:val="22"/>
          <w:szCs w:val="22"/>
          <w:lang w:val="en-GB"/>
        </w:rPr>
        <w:t>have</w:t>
      </w:r>
      <w:r w:rsidR="00FF144E" w:rsidRPr="00E90F29">
        <w:rPr>
          <w:rFonts w:ascii="Arial" w:hAnsi="Arial" w:cs="Arial"/>
          <w:sz w:val="22"/>
          <w:szCs w:val="22"/>
          <w:lang w:val="en-GB"/>
        </w:rPr>
        <w:t xml:space="preserve"> the circumstances of loss of life</w:t>
      </w:r>
      <w:r w:rsidR="0014458D" w:rsidRPr="00E90F29">
        <w:rPr>
          <w:rFonts w:ascii="Arial" w:hAnsi="Arial" w:cs="Arial"/>
          <w:sz w:val="22"/>
          <w:szCs w:val="22"/>
          <w:lang w:val="en-GB"/>
        </w:rPr>
        <w:t xml:space="preserve"> being fully and diligently investigated by competent authorities</w:t>
      </w:r>
      <w:r w:rsidR="00FF144E" w:rsidRPr="00E90F29">
        <w:rPr>
          <w:rFonts w:ascii="Arial" w:hAnsi="Arial" w:cs="Arial"/>
          <w:sz w:val="22"/>
          <w:szCs w:val="22"/>
          <w:lang w:val="en-GB"/>
        </w:rPr>
        <w:t>.</w:t>
      </w:r>
      <w:r w:rsidR="00FF144E" w:rsidRPr="00E90F29">
        <w:rPr>
          <w:rStyle w:val="FootnoteReference"/>
          <w:rFonts w:ascii="Arial" w:hAnsi="Arial" w:cs="Arial"/>
          <w:sz w:val="22"/>
          <w:szCs w:val="22"/>
          <w:lang w:val="en-GB"/>
        </w:rPr>
        <w:footnoteReference w:id="11"/>
      </w:r>
      <w:r w:rsidR="00FF144E" w:rsidRPr="00E90F29">
        <w:rPr>
          <w:rFonts w:ascii="Arial" w:hAnsi="Arial" w:cs="Arial"/>
          <w:sz w:val="22"/>
          <w:szCs w:val="22"/>
          <w:lang w:val="en-GB"/>
        </w:rPr>
        <w:t xml:space="preserve"> In that context, the Panel said this: </w:t>
      </w:r>
    </w:p>
    <w:p w14:paraId="0D3FB269" w14:textId="77777777" w:rsidR="00FF144E" w:rsidRPr="00E90F29" w:rsidRDefault="00FF144E" w:rsidP="00E90F29">
      <w:pPr>
        <w:spacing w:line="360" w:lineRule="auto"/>
        <w:jc w:val="both"/>
        <w:rPr>
          <w:rFonts w:ascii="Arial" w:hAnsi="Arial" w:cs="Arial"/>
          <w:sz w:val="22"/>
          <w:szCs w:val="22"/>
          <w:lang w:val="en-GB"/>
        </w:rPr>
      </w:pPr>
    </w:p>
    <w:p w14:paraId="58D47A37" w14:textId="064F5A1F" w:rsidR="00FF144E" w:rsidRPr="00E90F29" w:rsidRDefault="00FF144E" w:rsidP="00E90F29">
      <w:pPr>
        <w:pStyle w:val="JuPara"/>
        <w:spacing w:line="360" w:lineRule="auto"/>
        <w:ind w:left="567" w:firstLine="0"/>
        <w:rPr>
          <w:rFonts w:ascii="Arial" w:hAnsi="Arial" w:cs="Arial"/>
          <w:color w:val="000000"/>
          <w:sz w:val="22"/>
          <w:szCs w:val="22"/>
        </w:rPr>
      </w:pPr>
      <w:r w:rsidRPr="00E90F29">
        <w:rPr>
          <w:rFonts w:ascii="Arial" w:hAnsi="Arial" w:cs="Arial"/>
          <w:sz w:val="22"/>
          <w:szCs w:val="22"/>
        </w:rPr>
        <w:t>“</w:t>
      </w:r>
      <w:r w:rsidRPr="00E90F29">
        <w:rPr>
          <w:rFonts w:ascii="Arial" w:hAnsi="Arial" w:cs="Arial"/>
          <w:color w:val="000000"/>
          <w:sz w:val="22"/>
          <w:szCs w:val="22"/>
        </w:rPr>
        <w:t xml:space="preserve">The authorities must take whatever reasonable steps they can to secure the evidence concerning the incident, including, </w:t>
      </w:r>
      <w:r w:rsidRPr="00E90F29">
        <w:rPr>
          <w:rStyle w:val="ju-005fpara-002cleft-002cfirst-0020line-003a-0020-00200-0020cm--char"/>
          <w:rFonts w:ascii="Arial" w:hAnsi="Arial" w:cs="Arial"/>
          <w:i/>
          <w:iCs/>
          <w:color w:val="000000"/>
          <w:sz w:val="22"/>
          <w:szCs w:val="22"/>
        </w:rPr>
        <w:t>inter alia</w:t>
      </w:r>
      <w:r w:rsidRPr="00E90F29">
        <w:rPr>
          <w:rFonts w:ascii="Arial" w:hAnsi="Arial" w:cs="Arial"/>
          <w:color w:val="000000"/>
          <w:sz w:val="22"/>
          <w:szCs w:val="22"/>
        </w:rPr>
        <w:t xml:space="preserve">, eyewitness testimony and forensic evidence. In particular, the investigation's conclusions must be based on thorough, objective and impartial analysis of all relevant elements. Nevertheless, the nature and degree of scrutiny which satisfy the minimum threshold of the investigation's effectiveness depend on the circumstances of the particular case. They must be assessed on the basis of all relevant facts and with regard to the practical realities of investigation work (see </w:t>
      </w:r>
      <w:bookmarkStart w:id="11" w:name="01000002"/>
      <w:bookmarkEnd w:id="11"/>
      <w:proofErr w:type="spellStart"/>
      <w:r w:rsidRPr="00E90F29">
        <w:rPr>
          <w:rStyle w:val="ju-005fpara-002cleft-002cfirst-0020line-003a-0020-00200-0020cm--char"/>
          <w:rFonts w:ascii="Arial" w:hAnsi="Arial" w:cs="Arial"/>
          <w:i/>
          <w:iCs/>
          <w:color w:val="000000"/>
          <w:sz w:val="22"/>
          <w:szCs w:val="22"/>
        </w:rPr>
        <w:t>Velcea</w:t>
      </w:r>
      <w:proofErr w:type="spellEnd"/>
      <w:r w:rsidRPr="00E90F29">
        <w:rPr>
          <w:rStyle w:val="ju-005fpara-002cleft-002cfirst-0020line-003a-0020-00200-0020cm--char"/>
          <w:rFonts w:ascii="Arial" w:hAnsi="Arial" w:cs="Arial"/>
          <w:i/>
          <w:iCs/>
          <w:color w:val="000000"/>
          <w:sz w:val="22"/>
          <w:szCs w:val="22"/>
        </w:rPr>
        <w:t xml:space="preserve"> and </w:t>
      </w:r>
      <w:proofErr w:type="spellStart"/>
      <w:r w:rsidRPr="00E90F29">
        <w:rPr>
          <w:rStyle w:val="ju-005fpara-002cleft-002cfirst-0020line-003a-0020-00200-0020cm--char"/>
          <w:rFonts w:ascii="Arial" w:hAnsi="Arial" w:cs="Arial"/>
          <w:i/>
          <w:iCs/>
          <w:color w:val="000000"/>
          <w:sz w:val="22"/>
          <w:szCs w:val="22"/>
        </w:rPr>
        <w:t>Mazăre</w:t>
      </w:r>
      <w:proofErr w:type="spellEnd"/>
      <w:r w:rsidRPr="00E90F29">
        <w:rPr>
          <w:rStyle w:val="ju-005fpara-002cleft-002cfirst-0020line-003a-0020-00200-0020cm--char"/>
          <w:rFonts w:ascii="Arial" w:hAnsi="Arial" w:cs="Arial"/>
          <w:i/>
          <w:iCs/>
          <w:color w:val="000000"/>
          <w:sz w:val="22"/>
          <w:szCs w:val="22"/>
        </w:rPr>
        <w:t xml:space="preserve"> v. Romania</w:t>
      </w:r>
      <w:r w:rsidRPr="00E90F29">
        <w:rPr>
          <w:rFonts w:ascii="Arial" w:hAnsi="Arial" w:cs="Arial"/>
          <w:color w:val="000000"/>
          <w:sz w:val="22"/>
          <w:szCs w:val="22"/>
        </w:rPr>
        <w:t>, no. 64301/01, § 105, 1 December 2009).”</w:t>
      </w:r>
      <w:r w:rsidRPr="00E90F29">
        <w:rPr>
          <w:rStyle w:val="FootnoteReference"/>
          <w:rFonts w:ascii="Arial" w:hAnsi="Arial" w:cs="Arial"/>
          <w:color w:val="000000"/>
          <w:sz w:val="22"/>
          <w:szCs w:val="22"/>
        </w:rPr>
        <w:footnoteReference w:id="12"/>
      </w:r>
    </w:p>
    <w:p w14:paraId="5433B934" w14:textId="77777777" w:rsidR="00FF144E" w:rsidRPr="00E90F29" w:rsidRDefault="00FF144E" w:rsidP="00E90F29">
      <w:pPr>
        <w:spacing w:line="360" w:lineRule="auto"/>
        <w:jc w:val="both"/>
        <w:rPr>
          <w:rFonts w:ascii="Arial" w:hAnsi="Arial" w:cs="Arial"/>
          <w:sz w:val="22"/>
          <w:szCs w:val="22"/>
          <w:lang w:val="en-GB"/>
        </w:rPr>
      </w:pPr>
    </w:p>
    <w:p w14:paraId="5F54E1AC" w14:textId="4C7F8AEC" w:rsidR="00FF144E" w:rsidRPr="00E90F29" w:rsidRDefault="00FF144E"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Panel also made it clear that the right to life, as guaranteed </w:t>
      </w:r>
      <w:r w:rsidR="0014458D" w:rsidRPr="00E90F29">
        <w:rPr>
          <w:rFonts w:ascii="Arial" w:hAnsi="Arial" w:cs="Arial"/>
          <w:sz w:val="22"/>
          <w:szCs w:val="22"/>
          <w:lang w:val="en-GB"/>
        </w:rPr>
        <w:t xml:space="preserve">under, </w:t>
      </w:r>
      <w:r w:rsidRPr="00E90F29">
        <w:rPr>
          <w:rFonts w:ascii="Arial" w:hAnsi="Arial" w:cs="Arial"/>
          <w:i/>
          <w:sz w:val="22"/>
          <w:szCs w:val="22"/>
          <w:lang w:val="en-GB"/>
        </w:rPr>
        <w:t>inter alia</w:t>
      </w:r>
      <w:r w:rsidR="0014458D" w:rsidRPr="00E90F29">
        <w:rPr>
          <w:rFonts w:ascii="Arial" w:hAnsi="Arial" w:cs="Arial"/>
          <w:sz w:val="22"/>
          <w:szCs w:val="22"/>
          <w:lang w:val="en-GB"/>
        </w:rPr>
        <w:t>,</w:t>
      </w:r>
      <w:r w:rsidRPr="00E90F29">
        <w:rPr>
          <w:rFonts w:ascii="Arial" w:hAnsi="Arial" w:cs="Arial"/>
          <w:sz w:val="22"/>
          <w:szCs w:val="22"/>
          <w:lang w:val="en-GB"/>
        </w:rPr>
        <w:t xml:space="preserve"> </w:t>
      </w:r>
      <w:r w:rsidRPr="00E90F29">
        <w:rPr>
          <w:rFonts w:ascii="Arial" w:hAnsi="Arial" w:cs="Arial"/>
          <w:color w:val="000000"/>
          <w:sz w:val="22"/>
          <w:szCs w:val="22"/>
        </w:rPr>
        <w:t>Article 2 of the ECHR does not concern only deaths resulting from the use of force by agents of the State. The procedural obligation referred to above calls for an effective judicial system which can determine the cause of death and bring those responsible to account.</w:t>
      </w:r>
      <w:r w:rsidRPr="00E90F29">
        <w:rPr>
          <w:rStyle w:val="FootnoteReference"/>
          <w:rFonts w:ascii="Arial" w:hAnsi="Arial" w:cs="Arial"/>
          <w:color w:val="000000"/>
          <w:sz w:val="22"/>
          <w:szCs w:val="22"/>
        </w:rPr>
        <w:footnoteReference w:id="13"/>
      </w:r>
      <w:r w:rsidRPr="00E90F29">
        <w:rPr>
          <w:rFonts w:ascii="Arial" w:hAnsi="Arial" w:cs="Arial"/>
          <w:color w:val="000000"/>
          <w:sz w:val="22"/>
          <w:szCs w:val="22"/>
        </w:rPr>
        <w:t xml:space="preserve">  </w:t>
      </w:r>
      <w:r w:rsidRPr="00E90F29">
        <w:rPr>
          <w:rStyle w:val="JuParaCar"/>
          <w:rFonts w:ascii="Arial" w:hAnsi="Arial" w:cs="Arial"/>
          <w:color w:val="000000"/>
          <w:sz w:val="22"/>
          <w:szCs w:val="22"/>
        </w:rPr>
        <w:t>The</w:t>
      </w:r>
      <w:r w:rsidR="0014458D" w:rsidRPr="00E90F29">
        <w:rPr>
          <w:rStyle w:val="JuParaCar"/>
          <w:rFonts w:ascii="Arial" w:hAnsi="Arial" w:cs="Arial"/>
          <w:color w:val="000000"/>
          <w:sz w:val="22"/>
          <w:szCs w:val="22"/>
        </w:rPr>
        <w:t xml:space="preserve"> Panel made it clear that</w:t>
      </w:r>
      <w:r w:rsidRPr="00E90F29">
        <w:rPr>
          <w:rStyle w:val="JuParaCar"/>
          <w:rFonts w:ascii="Arial" w:hAnsi="Arial" w:cs="Arial"/>
          <w:color w:val="000000"/>
          <w:sz w:val="22"/>
          <w:szCs w:val="22"/>
        </w:rPr>
        <w:t xml:space="preserve"> authorities must therefore ensure, by all means at their </w:t>
      </w:r>
      <w:r w:rsidRPr="00E90F29">
        <w:rPr>
          <w:rFonts w:ascii="Arial" w:hAnsi="Arial" w:cs="Arial"/>
          <w:color w:val="000000"/>
          <w:sz w:val="22"/>
          <w:szCs w:val="22"/>
        </w:rPr>
        <w:t>disposal, an adequate response – judicial or otherwise – so that the legislative and administrative framework set up to protect the right to life is properly implemented and any breaches of that right are repressed and punished.</w:t>
      </w:r>
      <w:r w:rsidRPr="00E90F29">
        <w:rPr>
          <w:rStyle w:val="FootnoteReference"/>
          <w:rFonts w:ascii="Arial" w:hAnsi="Arial" w:cs="Arial"/>
          <w:color w:val="000000"/>
          <w:sz w:val="22"/>
          <w:szCs w:val="22"/>
        </w:rPr>
        <w:footnoteReference w:id="14"/>
      </w:r>
    </w:p>
    <w:p w14:paraId="3E74A64B" w14:textId="77777777" w:rsidR="008732C4" w:rsidRPr="00E90F29" w:rsidRDefault="008732C4" w:rsidP="00E90F29">
      <w:pPr>
        <w:spacing w:line="360" w:lineRule="auto"/>
        <w:jc w:val="both"/>
        <w:rPr>
          <w:rFonts w:ascii="Arial" w:hAnsi="Arial" w:cs="Arial"/>
          <w:sz w:val="22"/>
          <w:szCs w:val="22"/>
          <w:lang w:val="en-GB"/>
        </w:rPr>
      </w:pPr>
    </w:p>
    <w:p w14:paraId="5A632A63" w14:textId="375DBBFB" w:rsidR="00EA4925" w:rsidRPr="00E90F29" w:rsidRDefault="00EA4925" w:rsidP="00E90F29">
      <w:pPr>
        <w:spacing w:line="360" w:lineRule="auto"/>
        <w:jc w:val="both"/>
        <w:rPr>
          <w:rFonts w:ascii="Arial" w:hAnsi="Arial" w:cs="Arial"/>
          <w:sz w:val="22"/>
          <w:szCs w:val="22"/>
          <w:lang w:val="en-GB"/>
        </w:rPr>
      </w:pPr>
      <w:r w:rsidRPr="00E90F29">
        <w:rPr>
          <w:rFonts w:ascii="Arial" w:hAnsi="Arial" w:cs="Arial"/>
          <w:sz w:val="22"/>
          <w:szCs w:val="22"/>
          <w:lang w:val="en-GB"/>
        </w:rPr>
        <w:t>The authorities must also ensure that they do not create a risk to the life of an individual  by reason of their actions.</w:t>
      </w:r>
      <w:r w:rsidRPr="00E90F29">
        <w:rPr>
          <w:rStyle w:val="FootnoteReference"/>
          <w:rFonts w:ascii="Arial" w:hAnsi="Arial" w:cs="Arial"/>
          <w:sz w:val="22"/>
          <w:szCs w:val="22"/>
          <w:lang w:val="en-GB"/>
        </w:rPr>
        <w:footnoteReference w:id="15"/>
      </w:r>
    </w:p>
    <w:p w14:paraId="47E58F74" w14:textId="3A5F9F23" w:rsidR="00A03512" w:rsidRPr="00E90F29" w:rsidRDefault="00A03512" w:rsidP="00E90F29">
      <w:pPr>
        <w:spacing w:line="360" w:lineRule="auto"/>
        <w:jc w:val="both"/>
        <w:rPr>
          <w:rFonts w:ascii="Arial" w:hAnsi="Arial" w:cs="Arial"/>
          <w:sz w:val="22"/>
          <w:szCs w:val="22"/>
          <w:lang w:val="en-GB"/>
        </w:rPr>
      </w:pPr>
    </w:p>
    <w:p w14:paraId="0ECBFB5D" w14:textId="77777777" w:rsidR="00A03512" w:rsidRPr="00E90F29" w:rsidRDefault="00A03512" w:rsidP="00E90F29">
      <w:pPr>
        <w:spacing w:line="360" w:lineRule="auto"/>
        <w:jc w:val="both"/>
        <w:rPr>
          <w:rFonts w:ascii="Arial" w:hAnsi="Arial" w:cs="Arial"/>
          <w:sz w:val="22"/>
          <w:szCs w:val="22"/>
          <w:lang w:val="en-GB"/>
        </w:rPr>
      </w:pPr>
    </w:p>
    <w:p w14:paraId="2A7B01B7" w14:textId="3420D3B8" w:rsidR="008732C4" w:rsidRPr="00E90F29" w:rsidRDefault="00F71527" w:rsidP="00E90F29">
      <w:pPr>
        <w:pStyle w:val="Heading2"/>
      </w:pPr>
      <w:bookmarkStart w:id="13" w:name="_Toc513713955"/>
      <w:r w:rsidRPr="00E90F29">
        <w:t xml:space="preserve">3.3 </w:t>
      </w:r>
      <w:r w:rsidR="002234EB" w:rsidRPr="00E90F29">
        <w:t>Right to protection against torture and inhuman and degrading treatment</w:t>
      </w:r>
      <w:bookmarkEnd w:id="13"/>
    </w:p>
    <w:p w14:paraId="5BFA4020" w14:textId="77777777" w:rsidR="008732C4" w:rsidRPr="00E90F29" w:rsidRDefault="008732C4" w:rsidP="00E90F29">
      <w:pPr>
        <w:spacing w:line="360" w:lineRule="auto"/>
        <w:jc w:val="both"/>
        <w:rPr>
          <w:rFonts w:ascii="Arial" w:hAnsi="Arial" w:cs="Arial"/>
          <w:sz w:val="22"/>
          <w:szCs w:val="22"/>
          <w:lang w:val="en-GB"/>
        </w:rPr>
      </w:pPr>
    </w:p>
    <w:p w14:paraId="4C3B3BED" w14:textId="6C2D420E" w:rsidR="00883EB0" w:rsidRPr="00E90F29" w:rsidRDefault="00AC5B01" w:rsidP="00E90F29">
      <w:pPr>
        <w:pStyle w:val="Heading3"/>
      </w:pPr>
      <w:bookmarkStart w:id="14" w:name="_Toc513713956"/>
      <w:r w:rsidRPr="00E90F29">
        <w:t xml:space="preserve">3.3.1 </w:t>
      </w:r>
      <w:r w:rsidR="00883EB0" w:rsidRPr="00E90F29">
        <w:t>General considerations</w:t>
      </w:r>
      <w:bookmarkEnd w:id="14"/>
      <w:r w:rsidR="00883EB0" w:rsidRPr="00E90F29">
        <w:t xml:space="preserve"> </w:t>
      </w:r>
    </w:p>
    <w:p w14:paraId="7D286AA4" w14:textId="087E49EF" w:rsidR="00323BCF" w:rsidRPr="00E90F29" w:rsidRDefault="00965BFD"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Panel has dealt on a number of occasions with the rights </w:t>
      </w:r>
      <w:r w:rsidR="0014458D" w:rsidRPr="00E90F29">
        <w:rPr>
          <w:rFonts w:ascii="Arial" w:hAnsi="Arial" w:cs="Arial"/>
          <w:sz w:val="22"/>
          <w:szCs w:val="22"/>
          <w:lang w:val="en-GB"/>
        </w:rPr>
        <w:t xml:space="preserve">and guarantee against torture. This fundamental and all important right is </w:t>
      </w:r>
      <w:r w:rsidRPr="00E90F29">
        <w:rPr>
          <w:rFonts w:ascii="Arial" w:hAnsi="Arial" w:cs="Arial"/>
          <w:sz w:val="22"/>
          <w:szCs w:val="22"/>
          <w:lang w:val="en-GB"/>
        </w:rPr>
        <w:t xml:space="preserve">guaranteed, </w:t>
      </w:r>
      <w:r w:rsidRPr="00E90F29">
        <w:rPr>
          <w:rFonts w:ascii="Arial" w:hAnsi="Arial" w:cs="Arial"/>
          <w:i/>
          <w:sz w:val="22"/>
          <w:szCs w:val="22"/>
          <w:lang w:val="en-GB"/>
        </w:rPr>
        <w:t>inter alia</w:t>
      </w:r>
      <w:r w:rsidRPr="00E90F29">
        <w:rPr>
          <w:rFonts w:ascii="Arial" w:hAnsi="Arial" w:cs="Arial"/>
          <w:sz w:val="22"/>
          <w:szCs w:val="22"/>
          <w:lang w:val="en-GB"/>
        </w:rPr>
        <w:t xml:space="preserve">, </w:t>
      </w:r>
      <w:r w:rsidR="0014458D" w:rsidRPr="00E90F29">
        <w:rPr>
          <w:rFonts w:ascii="Arial" w:hAnsi="Arial" w:cs="Arial"/>
          <w:sz w:val="22"/>
          <w:szCs w:val="22"/>
          <w:lang w:val="en-GB"/>
        </w:rPr>
        <w:t xml:space="preserve">under </w:t>
      </w:r>
      <w:r w:rsidRPr="00E90F29">
        <w:rPr>
          <w:rFonts w:ascii="Arial" w:hAnsi="Arial" w:cs="Arial"/>
          <w:sz w:val="22"/>
          <w:szCs w:val="22"/>
          <w:lang w:val="en-GB"/>
        </w:rPr>
        <w:t>Article 3 of the Euro</w:t>
      </w:r>
      <w:r w:rsidR="00C46031" w:rsidRPr="00E90F29">
        <w:rPr>
          <w:rFonts w:ascii="Arial" w:hAnsi="Arial" w:cs="Arial"/>
          <w:sz w:val="22"/>
          <w:szCs w:val="22"/>
          <w:lang w:val="en-GB"/>
        </w:rPr>
        <w:t>p</w:t>
      </w:r>
      <w:r w:rsidR="0014458D" w:rsidRPr="00E90F29">
        <w:rPr>
          <w:rFonts w:ascii="Arial" w:hAnsi="Arial" w:cs="Arial"/>
          <w:sz w:val="22"/>
          <w:szCs w:val="22"/>
          <w:lang w:val="en-GB"/>
        </w:rPr>
        <w:t>ean Convention of Human Rights</w:t>
      </w:r>
      <w:r w:rsidR="003A6FB8" w:rsidRPr="00E90F29">
        <w:rPr>
          <w:rFonts w:ascii="Arial" w:hAnsi="Arial" w:cs="Arial"/>
          <w:sz w:val="22"/>
          <w:szCs w:val="22"/>
          <w:lang w:val="en-GB"/>
        </w:rPr>
        <w:t xml:space="preserve">, </w:t>
      </w:r>
      <w:r w:rsidR="0014458D" w:rsidRPr="00E90F29">
        <w:rPr>
          <w:rFonts w:ascii="Arial" w:hAnsi="Arial" w:cs="Arial"/>
          <w:sz w:val="22"/>
          <w:szCs w:val="22"/>
          <w:lang w:val="en-GB"/>
        </w:rPr>
        <w:t>Article 7 of the ICCPR</w:t>
      </w:r>
      <w:r w:rsidR="003A6FB8" w:rsidRPr="00E90F29">
        <w:rPr>
          <w:rFonts w:ascii="Arial" w:hAnsi="Arial" w:cs="Arial"/>
          <w:sz w:val="22"/>
          <w:szCs w:val="22"/>
          <w:lang w:val="en-GB"/>
        </w:rPr>
        <w:t xml:space="preserve">, in the </w:t>
      </w:r>
      <w:r w:rsidR="00323BCF" w:rsidRPr="00E90F29">
        <w:rPr>
          <w:rFonts w:ascii="Arial" w:hAnsi="Arial" w:cs="Arial"/>
          <w:sz w:val="22"/>
          <w:szCs w:val="22"/>
          <w:lang w:val="en-GB"/>
        </w:rPr>
        <w:t>1984 Torture Convention</w:t>
      </w:r>
      <w:r w:rsidR="003A6FB8" w:rsidRPr="00E90F29">
        <w:rPr>
          <w:rFonts w:ascii="Arial" w:hAnsi="Arial" w:cs="Arial"/>
          <w:sz w:val="22"/>
          <w:szCs w:val="22"/>
          <w:lang w:val="en-GB"/>
        </w:rPr>
        <w:t xml:space="preserve"> and also under customary international law.</w:t>
      </w:r>
      <w:r w:rsidR="00323BCF" w:rsidRPr="00E90F29">
        <w:rPr>
          <w:rStyle w:val="FootnoteReference"/>
          <w:rFonts w:ascii="Arial" w:hAnsi="Arial" w:cs="Arial"/>
          <w:sz w:val="22"/>
          <w:szCs w:val="22"/>
          <w:lang w:val="en-GB"/>
        </w:rPr>
        <w:footnoteReference w:id="16"/>
      </w:r>
      <w:r w:rsidR="0014458D" w:rsidRPr="00E90F29">
        <w:rPr>
          <w:rFonts w:ascii="Arial" w:hAnsi="Arial" w:cs="Arial"/>
          <w:sz w:val="22"/>
          <w:szCs w:val="22"/>
          <w:lang w:val="en-GB"/>
        </w:rPr>
        <w:t xml:space="preserve"> </w:t>
      </w:r>
    </w:p>
    <w:p w14:paraId="3C612E40" w14:textId="77777777" w:rsidR="00323BCF" w:rsidRPr="00E90F29" w:rsidRDefault="00323BCF" w:rsidP="00E90F29">
      <w:pPr>
        <w:spacing w:line="360" w:lineRule="auto"/>
        <w:jc w:val="both"/>
        <w:rPr>
          <w:rFonts w:ascii="Arial" w:hAnsi="Arial" w:cs="Arial"/>
          <w:sz w:val="22"/>
          <w:szCs w:val="22"/>
          <w:lang w:val="en-GB"/>
        </w:rPr>
      </w:pPr>
    </w:p>
    <w:p w14:paraId="13800D87" w14:textId="739CF970" w:rsidR="00591649" w:rsidRPr="00E90F29" w:rsidRDefault="00323BCF"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prohibition against torture and the right associated with that prohibition </w:t>
      </w:r>
      <w:r w:rsidR="00C46031" w:rsidRPr="00E90F29">
        <w:rPr>
          <w:rFonts w:ascii="Arial" w:hAnsi="Arial" w:cs="Arial"/>
          <w:sz w:val="22"/>
          <w:szCs w:val="22"/>
          <w:lang w:val="en-GB"/>
        </w:rPr>
        <w:t xml:space="preserve">seeks to shield individuals from torture and inhuman and degrading treatment. </w:t>
      </w:r>
      <w:r w:rsidR="00F019DC" w:rsidRPr="00E90F29">
        <w:rPr>
          <w:rFonts w:ascii="Arial" w:hAnsi="Arial" w:cs="Arial"/>
          <w:sz w:val="22"/>
          <w:szCs w:val="22"/>
          <w:lang w:val="en-GB"/>
        </w:rPr>
        <w:t>In particular, the Panel has made it clear that not any sort of mistreatment would fall short of the guarantee. Instead, it must meet a minimum threshold of gravity.</w:t>
      </w:r>
      <w:r w:rsidR="00F019DC" w:rsidRPr="00E90F29">
        <w:rPr>
          <w:rStyle w:val="FootnoteReference"/>
          <w:rFonts w:ascii="Arial" w:hAnsi="Arial" w:cs="Arial"/>
          <w:sz w:val="22"/>
          <w:szCs w:val="22"/>
          <w:lang w:val="en-GB"/>
        </w:rPr>
        <w:footnoteReference w:id="17"/>
      </w:r>
      <w:r w:rsidR="00F019DC" w:rsidRPr="00E90F29">
        <w:rPr>
          <w:rFonts w:ascii="Arial" w:hAnsi="Arial" w:cs="Arial"/>
          <w:sz w:val="22"/>
          <w:szCs w:val="22"/>
          <w:lang w:val="en-GB"/>
        </w:rPr>
        <w:t xml:space="preserve"> This could take the </w:t>
      </w:r>
      <w:r w:rsidR="00F019DC" w:rsidRPr="00E90F29">
        <w:rPr>
          <w:rFonts w:ascii="Arial" w:hAnsi="Arial" w:cs="Arial"/>
          <w:sz w:val="22"/>
          <w:szCs w:val="22"/>
          <w:lang w:val="en-GB"/>
        </w:rPr>
        <w:lastRenderedPageBreak/>
        <w:t>form of</w:t>
      </w:r>
      <w:r w:rsidRPr="00E90F29">
        <w:rPr>
          <w:rFonts w:ascii="Arial" w:hAnsi="Arial" w:cs="Arial"/>
          <w:sz w:val="22"/>
          <w:szCs w:val="22"/>
          <w:lang w:val="en-GB"/>
        </w:rPr>
        <w:t xml:space="preserve"> actual harm, but also </w:t>
      </w:r>
      <w:r w:rsidRPr="00E90F29">
        <w:rPr>
          <w:rFonts w:ascii="Arial" w:hAnsi="Arial" w:cs="Arial"/>
          <w:i/>
          <w:sz w:val="22"/>
          <w:szCs w:val="22"/>
          <w:lang w:val="en-GB"/>
        </w:rPr>
        <w:t>threat</w:t>
      </w:r>
      <w:r w:rsidRPr="00E90F29">
        <w:rPr>
          <w:rFonts w:ascii="Arial" w:hAnsi="Arial" w:cs="Arial"/>
          <w:sz w:val="22"/>
          <w:szCs w:val="22"/>
          <w:lang w:val="en-GB"/>
        </w:rPr>
        <w:t xml:space="preserve"> of</w:t>
      </w:r>
      <w:r w:rsidR="00F019DC" w:rsidRPr="00E90F29">
        <w:rPr>
          <w:rFonts w:ascii="Arial" w:hAnsi="Arial" w:cs="Arial"/>
          <w:sz w:val="22"/>
          <w:szCs w:val="22"/>
          <w:lang w:val="en-GB"/>
        </w:rPr>
        <w:t xml:space="preserve"> harm or </w:t>
      </w:r>
      <w:r w:rsidR="00F019DC" w:rsidRPr="00E90F29">
        <w:rPr>
          <w:rFonts w:ascii="Arial" w:hAnsi="Arial" w:cs="Arial"/>
          <w:i/>
          <w:sz w:val="22"/>
          <w:szCs w:val="22"/>
          <w:lang w:val="en-GB"/>
        </w:rPr>
        <w:t>risk</w:t>
      </w:r>
      <w:r w:rsidR="00F019DC" w:rsidRPr="00E90F29">
        <w:rPr>
          <w:rFonts w:ascii="Arial" w:hAnsi="Arial" w:cs="Arial"/>
          <w:sz w:val="22"/>
          <w:szCs w:val="22"/>
          <w:lang w:val="en-GB"/>
        </w:rPr>
        <w:t xml:space="preserve"> of harm, when serious enough to require the authorities to act.</w:t>
      </w:r>
      <w:r w:rsidR="00F019DC" w:rsidRPr="00E90F29">
        <w:rPr>
          <w:rStyle w:val="FootnoteReference"/>
          <w:rFonts w:ascii="Arial" w:hAnsi="Arial" w:cs="Arial"/>
          <w:sz w:val="22"/>
          <w:szCs w:val="22"/>
          <w:lang w:val="en-GB"/>
        </w:rPr>
        <w:footnoteReference w:id="18"/>
      </w:r>
      <w:r w:rsidR="00F019DC" w:rsidRPr="00E90F29">
        <w:rPr>
          <w:rFonts w:ascii="Arial" w:hAnsi="Arial" w:cs="Arial"/>
          <w:sz w:val="22"/>
          <w:szCs w:val="22"/>
          <w:lang w:val="en-GB"/>
        </w:rPr>
        <w:t xml:space="preserve"> in the </w:t>
      </w:r>
      <w:proofErr w:type="spellStart"/>
      <w:r w:rsidR="00F019DC" w:rsidRPr="00E90F29">
        <w:rPr>
          <w:rFonts w:ascii="Arial" w:hAnsi="Arial" w:cs="Arial"/>
          <w:i/>
          <w:sz w:val="22"/>
          <w:szCs w:val="22"/>
          <w:lang w:val="en-GB"/>
        </w:rPr>
        <w:t>Krasniqi</w:t>
      </w:r>
      <w:proofErr w:type="spellEnd"/>
      <w:r w:rsidR="00F019DC" w:rsidRPr="00E90F29">
        <w:rPr>
          <w:rFonts w:ascii="Arial" w:hAnsi="Arial" w:cs="Arial"/>
          <w:sz w:val="22"/>
          <w:szCs w:val="22"/>
          <w:lang w:val="en-GB"/>
        </w:rPr>
        <w:t xml:space="preserve"> case, the Panel was not satisfied that this </w:t>
      </w:r>
      <w:r w:rsidRPr="00E90F29">
        <w:rPr>
          <w:rFonts w:ascii="Arial" w:hAnsi="Arial" w:cs="Arial"/>
          <w:sz w:val="22"/>
          <w:szCs w:val="22"/>
          <w:lang w:val="en-GB"/>
        </w:rPr>
        <w:t xml:space="preserve">threshold </w:t>
      </w:r>
      <w:r w:rsidR="00F019DC" w:rsidRPr="00E90F29">
        <w:rPr>
          <w:rFonts w:ascii="Arial" w:hAnsi="Arial" w:cs="Arial"/>
          <w:sz w:val="22"/>
          <w:szCs w:val="22"/>
          <w:lang w:val="en-GB"/>
        </w:rPr>
        <w:t>had been met.</w:t>
      </w:r>
      <w:r w:rsidR="00F019DC" w:rsidRPr="00E90F29">
        <w:rPr>
          <w:rStyle w:val="FootnoteReference"/>
          <w:rFonts w:ascii="Arial" w:hAnsi="Arial" w:cs="Arial"/>
          <w:sz w:val="22"/>
          <w:szCs w:val="22"/>
          <w:lang w:val="en-GB"/>
        </w:rPr>
        <w:footnoteReference w:id="19"/>
      </w:r>
      <w:r w:rsidR="00F019DC" w:rsidRPr="00E90F29">
        <w:rPr>
          <w:rFonts w:ascii="Arial" w:hAnsi="Arial" w:cs="Arial"/>
          <w:sz w:val="22"/>
          <w:szCs w:val="22"/>
          <w:lang w:val="en-GB"/>
        </w:rPr>
        <w:t xml:space="preserve"> </w:t>
      </w:r>
    </w:p>
    <w:p w14:paraId="64329AA3" w14:textId="77777777" w:rsidR="00591649" w:rsidRPr="00E90F29" w:rsidRDefault="00591649" w:rsidP="00E90F29">
      <w:pPr>
        <w:spacing w:line="360" w:lineRule="auto"/>
        <w:jc w:val="both"/>
        <w:rPr>
          <w:rFonts w:ascii="Arial" w:hAnsi="Arial" w:cs="Arial"/>
          <w:sz w:val="22"/>
          <w:szCs w:val="22"/>
          <w:lang w:val="en-GB"/>
        </w:rPr>
      </w:pPr>
    </w:p>
    <w:p w14:paraId="5F2D0600" w14:textId="69643AC6" w:rsidR="00883EB0" w:rsidRPr="00E90F29" w:rsidRDefault="00323BCF" w:rsidP="00E90F29">
      <w:pPr>
        <w:spacing w:line="360" w:lineRule="auto"/>
        <w:jc w:val="both"/>
        <w:rPr>
          <w:rFonts w:ascii="Arial" w:hAnsi="Arial" w:cs="Arial"/>
          <w:sz w:val="22"/>
          <w:szCs w:val="22"/>
        </w:rPr>
      </w:pPr>
      <w:r w:rsidRPr="00E90F29">
        <w:rPr>
          <w:rFonts w:ascii="Arial" w:hAnsi="Arial" w:cs="Arial"/>
          <w:sz w:val="22"/>
          <w:szCs w:val="22"/>
          <w:lang w:val="en-GB"/>
        </w:rPr>
        <w:t>The Panel made it clear that t</w:t>
      </w:r>
      <w:r w:rsidR="00F019DC" w:rsidRPr="00E90F29">
        <w:rPr>
          <w:rFonts w:ascii="Arial" w:hAnsi="Arial" w:cs="Arial"/>
          <w:sz w:val="22"/>
          <w:szCs w:val="22"/>
          <w:lang w:val="en-GB"/>
        </w:rPr>
        <w:t xml:space="preserve">orture </w:t>
      </w:r>
      <w:r w:rsidR="00F019DC" w:rsidRPr="00E90F29">
        <w:rPr>
          <w:rFonts w:ascii="Arial" w:hAnsi="Arial" w:cs="Arial"/>
          <w:sz w:val="22"/>
          <w:szCs w:val="22"/>
        </w:rPr>
        <w:t>requires demonstration of deliberate inhuman treatment causing serious and cruel suffering inflicted with a view to achieve one of the recognized prohibited purposes.</w:t>
      </w:r>
      <w:r w:rsidR="00F019DC" w:rsidRPr="00E90F29">
        <w:rPr>
          <w:rStyle w:val="FootnoteReference"/>
          <w:rFonts w:ascii="Arial" w:hAnsi="Arial" w:cs="Arial"/>
          <w:sz w:val="22"/>
          <w:szCs w:val="22"/>
        </w:rPr>
        <w:footnoteReference w:id="20"/>
      </w:r>
      <w:r w:rsidR="00591649" w:rsidRPr="00E90F29">
        <w:rPr>
          <w:rFonts w:ascii="Arial" w:hAnsi="Arial" w:cs="Arial"/>
          <w:sz w:val="22"/>
          <w:szCs w:val="22"/>
        </w:rPr>
        <w:t xml:space="preserve"> </w:t>
      </w:r>
      <w:r w:rsidRPr="00E90F29">
        <w:rPr>
          <w:rFonts w:ascii="Arial" w:hAnsi="Arial" w:cs="Arial"/>
          <w:sz w:val="22"/>
          <w:szCs w:val="22"/>
        </w:rPr>
        <w:t>This category of human rights violation</w:t>
      </w:r>
      <w:r w:rsidR="00591649" w:rsidRPr="00E90F29">
        <w:rPr>
          <w:rFonts w:ascii="Arial" w:hAnsi="Arial" w:cs="Arial"/>
          <w:sz w:val="22"/>
          <w:szCs w:val="22"/>
        </w:rPr>
        <w:t xml:space="preserve"> was </w:t>
      </w:r>
      <w:r w:rsidRPr="00E90F29">
        <w:rPr>
          <w:rFonts w:ascii="Arial" w:hAnsi="Arial" w:cs="Arial"/>
          <w:sz w:val="22"/>
          <w:szCs w:val="22"/>
        </w:rPr>
        <w:t>further defined by the Panel in those terms</w:t>
      </w:r>
      <w:r w:rsidR="00591649" w:rsidRPr="00E90F29">
        <w:rPr>
          <w:rFonts w:ascii="Arial" w:hAnsi="Arial" w:cs="Arial"/>
          <w:sz w:val="22"/>
          <w:szCs w:val="22"/>
        </w:rPr>
        <w:t xml:space="preserve">: </w:t>
      </w:r>
    </w:p>
    <w:p w14:paraId="0824179C" w14:textId="77777777" w:rsidR="00591649" w:rsidRPr="00E90F29" w:rsidRDefault="00591649" w:rsidP="00E90F29">
      <w:pPr>
        <w:spacing w:line="360" w:lineRule="auto"/>
        <w:jc w:val="both"/>
        <w:rPr>
          <w:rFonts w:ascii="Arial" w:hAnsi="Arial" w:cs="Arial"/>
          <w:sz w:val="22"/>
          <w:szCs w:val="22"/>
        </w:rPr>
      </w:pPr>
    </w:p>
    <w:p w14:paraId="02630E68" w14:textId="36C9C70A" w:rsidR="00591649" w:rsidRPr="00E90F29" w:rsidRDefault="00591649" w:rsidP="00E90F29">
      <w:pPr>
        <w:spacing w:line="360" w:lineRule="auto"/>
        <w:ind w:left="567"/>
        <w:jc w:val="both"/>
        <w:rPr>
          <w:rFonts w:ascii="Arial" w:hAnsi="Arial" w:cs="Arial"/>
          <w:sz w:val="22"/>
          <w:szCs w:val="22"/>
          <w:lang w:val="en-GB"/>
        </w:rPr>
      </w:pPr>
      <w:r w:rsidRPr="00E90F29">
        <w:rPr>
          <w:rFonts w:ascii="Arial" w:hAnsi="Arial" w:cs="Arial"/>
          <w:sz w:val="22"/>
          <w:szCs w:val="22"/>
        </w:rPr>
        <w:t xml:space="preserve">“‘the term ‘torture’ means any act by which severe pain or suffering, whether physical or mental, is intentionally inflicted on a person’ (Article 1).  According to the case law of the European Court of Human Rights torture constitutes “deliberate inhuman treatment causing very serious and cruel suffering” (see, among many other authorities </w:t>
      </w:r>
      <w:proofErr w:type="spellStart"/>
      <w:r w:rsidRPr="00E90F29">
        <w:rPr>
          <w:rFonts w:ascii="Arial" w:hAnsi="Arial" w:cs="Arial"/>
          <w:i/>
          <w:sz w:val="22"/>
          <w:szCs w:val="22"/>
        </w:rPr>
        <w:t>Selmouni</w:t>
      </w:r>
      <w:proofErr w:type="spellEnd"/>
      <w:r w:rsidRPr="00E90F29">
        <w:rPr>
          <w:rFonts w:ascii="Arial" w:hAnsi="Arial" w:cs="Arial"/>
          <w:i/>
          <w:sz w:val="22"/>
          <w:szCs w:val="22"/>
        </w:rPr>
        <w:t xml:space="preserve"> v. France</w:t>
      </w:r>
      <w:r w:rsidRPr="00E90F29">
        <w:rPr>
          <w:rFonts w:ascii="Arial" w:hAnsi="Arial" w:cs="Arial"/>
          <w:sz w:val="22"/>
          <w:szCs w:val="22"/>
        </w:rPr>
        <w:t xml:space="preserve"> [GC], no. 25803/94, § 96, ECHR 1999-V). Similarly, Article 165 of the PCCK defines torture as “any act or omission by which severe pain or suffering, whether physical or mental, is intentionally inflicted on a person”. However, the Panel observes that the complainant does not provide any details which would allow it to conclude that the treatment he has been subjected to amounts to inhuman or degrading treatment within the meaning of Article 3 of the European Convention, let alone </w:t>
      </w:r>
      <w:r w:rsidRPr="00E90F29">
        <w:rPr>
          <w:rFonts w:ascii="Arial" w:hAnsi="Arial" w:cs="Arial"/>
          <w:sz w:val="22"/>
          <w:szCs w:val="22"/>
        </w:rPr>
        <w:lastRenderedPageBreak/>
        <w:t>to torture within the meaning of the same provision or within the meaning of Article 1 of the Convention against Torture, or Article 165 of the PCCK.”</w:t>
      </w:r>
      <w:r w:rsidRPr="00E90F29">
        <w:rPr>
          <w:rStyle w:val="FootnoteReference"/>
          <w:rFonts w:ascii="Arial" w:hAnsi="Arial" w:cs="Arial"/>
          <w:sz w:val="22"/>
          <w:szCs w:val="22"/>
        </w:rPr>
        <w:footnoteReference w:id="21"/>
      </w:r>
    </w:p>
    <w:p w14:paraId="1E19CB45" w14:textId="77777777" w:rsidR="00C46031" w:rsidRPr="00E90F29" w:rsidRDefault="00C46031" w:rsidP="00E90F29">
      <w:pPr>
        <w:spacing w:line="360" w:lineRule="auto"/>
        <w:jc w:val="both"/>
        <w:rPr>
          <w:rFonts w:ascii="Arial" w:hAnsi="Arial" w:cs="Arial"/>
          <w:sz w:val="22"/>
          <w:szCs w:val="22"/>
          <w:lang w:val="en-GB"/>
        </w:rPr>
      </w:pPr>
    </w:p>
    <w:p w14:paraId="48BD8122" w14:textId="51FFA939" w:rsidR="00883EB0" w:rsidRPr="00E90F29" w:rsidRDefault="00AC5B01" w:rsidP="00E90F29">
      <w:pPr>
        <w:pStyle w:val="Heading3"/>
      </w:pPr>
      <w:bookmarkStart w:id="15" w:name="_Toc513713957"/>
      <w:r w:rsidRPr="00E90F29">
        <w:t xml:space="preserve">3.3.2 </w:t>
      </w:r>
      <w:r w:rsidR="00591649" w:rsidRPr="00E90F29">
        <w:t>Procedural rights and obligations</w:t>
      </w:r>
      <w:bookmarkEnd w:id="15"/>
      <w:r w:rsidR="00591649" w:rsidRPr="00E90F29">
        <w:t xml:space="preserve"> </w:t>
      </w:r>
    </w:p>
    <w:p w14:paraId="35AD3CBB" w14:textId="3B106F04" w:rsidR="00591649" w:rsidRPr="00E90F29" w:rsidRDefault="00063BD7" w:rsidP="00E90F29">
      <w:pPr>
        <w:spacing w:line="360" w:lineRule="auto"/>
        <w:jc w:val="both"/>
        <w:rPr>
          <w:rFonts w:ascii="Arial" w:hAnsi="Arial" w:cs="Arial"/>
          <w:b/>
          <w:sz w:val="22"/>
          <w:szCs w:val="22"/>
          <w:lang w:val="en-GB"/>
        </w:rPr>
      </w:pPr>
      <w:r w:rsidRPr="00E90F29">
        <w:rPr>
          <w:rFonts w:ascii="Arial" w:hAnsi="Arial" w:cs="Arial"/>
          <w:sz w:val="22"/>
          <w:szCs w:val="22"/>
          <w:lang w:val="en-GB"/>
        </w:rPr>
        <w:t xml:space="preserve">The right in question protects individuals </w:t>
      </w:r>
      <w:r w:rsidR="00323BCF" w:rsidRPr="00E90F29">
        <w:rPr>
          <w:rFonts w:ascii="Arial" w:hAnsi="Arial" w:cs="Arial"/>
          <w:sz w:val="22"/>
          <w:szCs w:val="22"/>
          <w:lang w:val="en-GB"/>
        </w:rPr>
        <w:t>against</w:t>
      </w:r>
      <w:r w:rsidRPr="00E90F29">
        <w:rPr>
          <w:rFonts w:ascii="Arial" w:hAnsi="Arial" w:cs="Arial"/>
          <w:sz w:val="22"/>
          <w:szCs w:val="22"/>
          <w:lang w:val="en-GB"/>
        </w:rPr>
        <w:t xml:space="preserve"> mistreatment at the hands of the authorities. In addition, t</w:t>
      </w:r>
      <w:r w:rsidR="00591649" w:rsidRPr="00E90F29">
        <w:rPr>
          <w:rFonts w:ascii="Arial" w:hAnsi="Arial" w:cs="Arial"/>
          <w:sz w:val="22"/>
          <w:szCs w:val="22"/>
          <w:lang w:val="en-GB"/>
        </w:rPr>
        <w:t xml:space="preserve">he Panel also </w:t>
      </w:r>
      <w:r w:rsidRPr="00E90F29">
        <w:rPr>
          <w:rFonts w:ascii="Arial" w:hAnsi="Arial" w:cs="Arial"/>
          <w:sz w:val="22"/>
          <w:szCs w:val="22"/>
          <w:lang w:val="en-GB"/>
        </w:rPr>
        <w:t>noted</w:t>
      </w:r>
      <w:r w:rsidRPr="00E90F29">
        <w:rPr>
          <w:rFonts w:ascii="Arial" w:hAnsi="Arial" w:cs="Arial"/>
          <w:b/>
          <w:sz w:val="22"/>
          <w:szCs w:val="22"/>
          <w:lang w:val="en-GB"/>
        </w:rPr>
        <w:t xml:space="preserve"> </w:t>
      </w:r>
      <w:r w:rsidRPr="00E90F29">
        <w:rPr>
          <w:rFonts w:ascii="Arial" w:hAnsi="Arial" w:cs="Arial"/>
          <w:sz w:val="22"/>
          <w:szCs w:val="22"/>
        </w:rPr>
        <w:t xml:space="preserve">that </w:t>
      </w:r>
      <w:r w:rsidR="00323BCF" w:rsidRPr="00E90F29">
        <w:rPr>
          <w:rFonts w:ascii="Arial" w:hAnsi="Arial" w:cs="Arial"/>
          <w:sz w:val="22"/>
          <w:szCs w:val="22"/>
        </w:rPr>
        <w:t xml:space="preserve">there existed for the Mission a </w:t>
      </w:r>
      <w:r w:rsidRPr="00E90F29">
        <w:rPr>
          <w:rFonts w:ascii="Arial" w:hAnsi="Arial" w:cs="Arial"/>
          <w:sz w:val="22"/>
          <w:szCs w:val="22"/>
        </w:rPr>
        <w:t xml:space="preserve">procedural obligation </w:t>
      </w:r>
      <w:r w:rsidR="00323BCF" w:rsidRPr="00E90F29">
        <w:rPr>
          <w:rFonts w:ascii="Arial" w:hAnsi="Arial" w:cs="Arial"/>
          <w:sz w:val="22"/>
          <w:szCs w:val="22"/>
        </w:rPr>
        <w:t>to</w:t>
      </w:r>
      <w:r w:rsidRPr="00E90F29">
        <w:rPr>
          <w:rFonts w:ascii="Arial" w:hAnsi="Arial" w:cs="Arial"/>
          <w:sz w:val="22"/>
          <w:szCs w:val="22"/>
        </w:rPr>
        <w:t xml:space="preserve"> investigate </w:t>
      </w:r>
      <w:r w:rsidR="00323BCF" w:rsidRPr="00E90F29">
        <w:rPr>
          <w:rFonts w:ascii="Arial" w:hAnsi="Arial" w:cs="Arial"/>
          <w:sz w:val="22"/>
          <w:szCs w:val="22"/>
        </w:rPr>
        <w:t>credible allegations of violations of that right,</w:t>
      </w:r>
      <w:r w:rsidRPr="00E90F29">
        <w:rPr>
          <w:rFonts w:ascii="Arial" w:hAnsi="Arial" w:cs="Arial"/>
          <w:sz w:val="22"/>
          <w:szCs w:val="22"/>
        </w:rPr>
        <w:t xml:space="preserve"> </w:t>
      </w:r>
      <w:r w:rsidR="00323BCF" w:rsidRPr="00E90F29">
        <w:rPr>
          <w:rFonts w:ascii="Arial" w:hAnsi="Arial" w:cs="Arial"/>
          <w:sz w:val="22"/>
          <w:szCs w:val="22"/>
        </w:rPr>
        <w:t>as</w:t>
      </w:r>
      <w:r w:rsidRPr="00E90F29">
        <w:rPr>
          <w:rFonts w:ascii="Arial" w:hAnsi="Arial" w:cs="Arial"/>
          <w:sz w:val="22"/>
          <w:szCs w:val="22"/>
        </w:rPr>
        <w:t xml:space="preserve"> may arise in certain circumstances:</w:t>
      </w:r>
    </w:p>
    <w:p w14:paraId="580BE0FF" w14:textId="5E32A28C" w:rsidR="00591649" w:rsidRPr="00E90F29" w:rsidRDefault="00591649" w:rsidP="00E90F29">
      <w:pPr>
        <w:suppressAutoHyphens/>
        <w:autoSpaceDE w:val="0"/>
        <w:spacing w:line="360" w:lineRule="auto"/>
        <w:ind w:left="567"/>
        <w:jc w:val="both"/>
        <w:rPr>
          <w:rFonts w:ascii="Arial" w:hAnsi="Arial" w:cs="Arial"/>
          <w:sz w:val="22"/>
          <w:szCs w:val="22"/>
          <w:lang w:val="en-GB"/>
        </w:rPr>
      </w:pPr>
      <w:r w:rsidRPr="00E90F29">
        <w:rPr>
          <w:rFonts w:ascii="Arial" w:hAnsi="Arial" w:cs="Arial"/>
          <w:b/>
          <w:sz w:val="22"/>
          <w:szCs w:val="22"/>
          <w:lang w:val="en-GB"/>
        </w:rPr>
        <w:t>“</w:t>
      </w:r>
      <w:r w:rsidRPr="00E90F29">
        <w:rPr>
          <w:rFonts w:ascii="Arial" w:hAnsi="Arial" w:cs="Arial"/>
          <w:sz w:val="22"/>
          <w:szCs w:val="22"/>
        </w:rPr>
        <w:t>article 3.3. of the Law no. 03/L-053 on Jurisdiction, Case Selection and Case Allocation of EULEX Judges and Prosecutors in Kosovo (the Law on Jurisdiction) enumerates criminal offences triggering the competence of EULEX prosecutors, among them torture (as defined in Article 165 of the Provisional Criminal Code of Kosovo (PCCK)). The Panel reiterates that, under Article 12 of the Law on Jurisdiction, EULEX prosecutors have the authority to take over an investigation or prosecution of any criminal offences, in case Kosovo prosecutors are unwilling or unable to perform their duties and this unwillingness or inability might endanger the proper investigation or prosecution. For that possibility to arise, however, the case would have to be first referred to a local public prosecutor. If then a local prosecutor was unwilling or unable to deal with the case, the complainant could  notify the Chief EULEX Prosecutor, who would then decide whether to assign the case to another Kosovo public prosecutor or to an EULEX prosecutor. The Panel observes that the complainant has not shown that he brought his grievances to the attention of the Kosovo prosecuting authorities.</w:t>
      </w:r>
      <w:r w:rsidRPr="00E90F29">
        <w:rPr>
          <w:rFonts w:ascii="Arial" w:hAnsi="Arial" w:cs="Arial"/>
          <w:sz w:val="22"/>
          <w:szCs w:val="22"/>
          <w:lang w:val="en-GB"/>
        </w:rPr>
        <w:t>”</w:t>
      </w:r>
      <w:r w:rsidRPr="00E90F29">
        <w:rPr>
          <w:rStyle w:val="FootnoteReference"/>
          <w:rFonts w:ascii="Arial" w:hAnsi="Arial" w:cs="Arial"/>
          <w:sz w:val="22"/>
          <w:szCs w:val="22"/>
          <w:lang w:val="en-GB"/>
        </w:rPr>
        <w:footnoteReference w:id="22"/>
      </w:r>
    </w:p>
    <w:p w14:paraId="59AD165B" w14:textId="77777777" w:rsidR="00AC5B01" w:rsidRPr="00E90F29" w:rsidRDefault="00AC5B01" w:rsidP="00E90F29">
      <w:pPr>
        <w:spacing w:line="360" w:lineRule="auto"/>
        <w:jc w:val="both"/>
        <w:rPr>
          <w:rFonts w:ascii="Arial" w:hAnsi="Arial" w:cs="Arial"/>
          <w:b/>
          <w:sz w:val="22"/>
          <w:szCs w:val="22"/>
          <w:lang w:val="en-GB"/>
        </w:rPr>
      </w:pPr>
    </w:p>
    <w:p w14:paraId="6195BB38" w14:textId="67B17C24" w:rsidR="00883EB0" w:rsidRPr="00E90F29" w:rsidRDefault="00883EB0" w:rsidP="00E90F29">
      <w:pPr>
        <w:spacing w:line="360" w:lineRule="auto"/>
        <w:jc w:val="both"/>
        <w:rPr>
          <w:rFonts w:ascii="Arial" w:hAnsi="Arial" w:cs="Arial"/>
          <w:sz w:val="22"/>
          <w:szCs w:val="22"/>
          <w:lang w:val="en-GB"/>
        </w:rPr>
      </w:pPr>
    </w:p>
    <w:p w14:paraId="36955BAA" w14:textId="415A59E8" w:rsidR="002234EB" w:rsidRPr="00E90F29" w:rsidRDefault="00F71527" w:rsidP="00E90F29">
      <w:pPr>
        <w:pStyle w:val="Heading2"/>
      </w:pPr>
      <w:bookmarkStart w:id="16" w:name="_Toc513713958"/>
      <w:r w:rsidRPr="00E90F29">
        <w:t xml:space="preserve">3.4 </w:t>
      </w:r>
      <w:r w:rsidR="002234EB" w:rsidRPr="00E90F29">
        <w:t>Right to liberty</w:t>
      </w:r>
      <w:bookmarkEnd w:id="16"/>
      <w:r w:rsidR="002234EB" w:rsidRPr="00E90F29">
        <w:t xml:space="preserve"> </w:t>
      </w:r>
    </w:p>
    <w:p w14:paraId="78A61B18" w14:textId="77777777" w:rsidR="008732C4" w:rsidRPr="00E90F29" w:rsidRDefault="008732C4" w:rsidP="00E90F29">
      <w:pPr>
        <w:spacing w:line="360" w:lineRule="auto"/>
        <w:jc w:val="both"/>
        <w:rPr>
          <w:rFonts w:ascii="Arial" w:hAnsi="Arial" w:cs="Arial"/>
          <w:sz w:val="22"/>
          <w:szCs w:val="22"/>
          <w:lang w:val="en-GB"/>
        </w:rPr>
      </w:pPr>
    </w:p>
    <w:p w14:paraId="5D198D27" w14:textId="0A2BE061" w:rsidR="00883EB0" w:rsidRPr="00E90F29" w:rsidRDefault="00AC5B01" w:rsidP="00E90F29">
      <w:pPr>
        <w:pStyle w:val="Heading3"/>
      </w:pPr>
      <w:bookmarkStart w:id="17" w:name="_Toc513713959"/>
      <w:r w:rsidRPr="00E90F29">
        <w:t xml:space="preserve">3.4.1 </w:t>
      </w:r>
      <w:r w:rsidR="00883EB0" w:rsidRPr="00E90F29">
        <w:t>General considerations</w:t>
      </w:r>
      <w:bookmarkEnd w:id="17"/>
      <w:r w:rsidR="00883EB0" w:rsidRPr="00E90F29">
        <w:t xml:space="preserve"> </w:t>
      </w:r>
    </w:p>
    <w:p w14:paraId="31B6401B" w14:textId="441EC4AD" w:rsidR="00883EB0" w:rsidRPr="00E90F29" w:rsidRDefault="000E0446" w:rsidP="00E90F29">
      <w:pPr>
        <w:spacing w:line="360" w:lineRule="auto"/>
        <w:jc w:val="both"/>
        <w:rPr>
          <w:rFonts w:ascii="Arial" w:hAnsi="Arial" w:cs="Arial"/>
          <w:sz w:val="22"/>
          <w:szCs w:val="22"/>
          <w:lang w:val="en-GB"/>
        </w:rPr>
      </w:pPr>
      <w:r w:rsidRPr="00E90F29">
        <w:rPr>
          <w:rFonts w:ascii="Arial" w:hAnsi="Arial" w:cs="Arial"/>
          <w:sz w:val="22"/>
          <w:szCs w:val="22"/>
          <w:lang w:val="en-GB"/>
        </w:rPr>
        <w:t>The Panel has dealt in a number of cases with the right to liberty, as guaranteed in</w:t>
      </w:r>
      <w:r w:rsidRPr="00E90F29">
        <w:rPr>
          <w:rFonts w:ascii="Arial" w:hAnsi="Arial" w:cs="Arial"/>
          <w:i/>
          <w:sz w:val="22"/>
          <w:szCs w:val="22"/>
          <w:lang w:val="en-GB"/>
        </w:rPr>
        <w:t>ter alia</w:t>
      </w:r>
      <w:r w:rsidRPr="00E90F29">
        <w:rPr>
          <w:rFonts w:ascii="Arial" w:hAnsi="Arial" w:cs="Arial"/>
          <w:sz w:val="22"/>
          <w:szCs w:val="22"/>
          <w:lang w:val="en-GB"/>
        </w:rPr>
        <w:t xml:space="preserve"> by Article 5 of the Euro</w:t>
      </w:r>
      <w:r w:rsidR="00951916" w:rsidRPr="00E90F29">
        <w:rPr>
          <w:rFonts w:ascii="Arial" w:hAnsi="Arial" w:cs="Arial"/>
          <w:sz w:val="22"/>
          <w:szCs w:val="22"/>
          <w:lang w:val="en-GB"/>
        </w:rPr>
        <w:t>pean Convention of Human Right and Article 9 of the ICCPR.</w:t>
      </w:r>
    </w:p>
    <w:p w14:paraId="488A1B7A" w14:textId="77777777" w:rsidR="000E0446" w:rsidRPr="00E90F29" w:rsidRDefault="000E0446" w:rsidP="00E90F29">
      <w:pPr>
        <w:spacing w:line="360" w:lineRule="auto"/>
        <w:jc w:val="both"/>
        <w:rPr>
          <w:rFonts w:ascii="Arial" w:hAnsi="Arial" w:cs="Arial"/>
          <w:sz w:val="22"/>
          <w:szCs w:val="22"/>
          <w:lang w:val="en-GB"/>
        </w:rPr>
      </w:pPr>
    </w:p>
    <w:p w14:paraId="24B55918" w14:textId="6D7E53EB" w:rsidR="000E0446" w:rsidRPr="00E90F29" w:rsidRDefault="00480632" w:rsidP="00E90F29">
      <w:pPr>
        <w:pStyle w:val="Heading3"/>
      </w:pPr>
      <w:bookmarkStart w:id="18" w:name="_Toc513713960"/>
      <w:r w:rsidRPr="00E90F29">
        <w:t xml:space="preserve">3.4.2 </w:t>
      </w:r>
      <w:r w:rsidR="000E0446" w:rsidRPr="00E90F29">
        <w:t>No guarantee against others</w:t>
      </w:r>
      <w:bookmarkEnd w:id="18"/>
      <w:r w:rsidR="000E0446" w:rsidRPr="00E90F29">
        <w:t xml:space="preserve"> </w:t>
      </w:r>
    </w:p>
    <w:p w14:paraId="5C27AC48" w14:textId="09EBE4E2" w:rsidR="000E0446" w:rsidRPr="00E90F29" w:rsidRDefault="000E0446" w:rsidP="00E90F29">
      <w:pPr>
        <w:spacing w:line="360" w:lineRule="auto"/>
        <w:jc w:val="both"/>
        <w:rPr>
          <w:rFonts w:ascii="Arial" w:hAnsi="Arial" w:cs="Arial"/>
          <w:sz w:val="22"/>
          <w:szCs w:val="22"/>
        </w:rPr>
      </w:pPr>
      <w:r w:rsidRPr="00E90F29">
        <w:rPr>
          <w:rFonts w:ascii="Arial" w:hAnsi="Arial" w:cs="Arial"/>
          <w:sz w:val="22"/>
          <w:szCs w:val="22"/>
          <w:lang w:val="en-GB"/>
        </w:rPr>
        <w:lastRenderedPageBreak/>
        <w:t>The</w:t>
      </w:r>
      <w:r w:rsidRPr="00E90F29">
        <w:rPr>
          <w:rFonts w:ascii="Arial" w:hAnsi="Arial" w:cs="Arial"/>
          <w:sz w:val="22"/>
          <w:szCs w:val="22"/>
        </w:rPr>
        <w:t xml:space="preserve"> Panel has made it clear that the right to “liberty and security of person” does not create an obligation on the part of authorities to give an individual protection from others.</w:t>
      </w:r>
      <w:r w:rsidRPr="00E90F29">
        <w:rPr>
          <w:rStyle w:val="FootnoteReference"/>
          <w:rFonts w:ascii="Arial" w:hAnsi="Arial" w:cs="Arial"/>
          <w:sz w:val="22"/>
          <w:szCs w:val="22"/>
        </w:rPr>
        <w:footnoteReference w:id="23"/>
      </w:r>
      <w:r w:rsidRPr="00E90F29">
        <w:rPr>
          <w:rFonts w:ascii="Arial" w:hAnsi="Arial" w:cs="Arial"/>
          <w:sz w:val="22"/>
          <w:szCs w:val="22"/>
        </w:rPr>
        <w:t xml:space="preserve"> </w:t>
      </w:r>
      <w:r w:rsidR="00DE1686" w:rsidRPr="00E90F29">
        <w:rPr>
          <w:rFonts w:ascii="Arial" w:hAnsi="Arial" w:cs="Arial"/>
          <w:sz w:val="22"/>
          <w:szCs w:val="22"/>
        </w:rPr>
        <w:t>That right, the Panel said,</w:t>
      </w:r>
      <w:r w:rsidRPr="00E90F29">
        <w:rPr>
          <w:rFonts w:ascii="Arial" w:hAnsi="Arial" w:cs="Arial"/>
          <w:sz w:val="22"/>
          <w:szCs w:val="22"/>
        </w:rPr>
        <w:t xml:space="preserve"> is concerned with arbitrary interference by a public authority with an individual’s personal liberty and his or her freedom from arrest and detention.</w:t>
      </w:r>
      <w:r w:rsidRPr="00E90F29">
        <w:rPr>
          <w:rStyle w:val="FootnoteReference"/>
          <w:rFonts w:ascii="Arial" w:hAnsi="Arial" w:cs="Arial"/>
          <w:sz w:val="22"/>
          <w:szCs w:val="22"/>
        </w:rPr>
        <w:footnoteReference w:id="24"/>
      </w:r>
      <w:r w:rsidRPr="00E90F29">
        <w:rPr>
          <w:rFonts w:ascii="Arial" w:hAnsi="Arial" w:cs="Arial"/>
          <w:sz w:val="22"/>
          <w:szCs w:val="22"/>
        </w:rPr>
        <w:t xml:space="preserve">  </w:t>
      </w:r>
    </w:p>
    <w:p w14:paraId="17563904" w14:textId="77777777" w:rsidR="00177978" w:rsidRPr="00E90F29" w:rsidRDefault="00177978" w:rsidP="00E90F29">
      <w:pPr>
        <w:spacing w:line="360" w:lineRule="auto"/>
        <w:jc w:val="both"/>
        <w:rPr>
          <w:rFonts w:ascii="Arial" w:hAnsi="Arial" w:cs="Arial"/>
          <w:sz w:val="22"/>
          <w:szCs w:val="22"/>
        </w:rPr>
      </w:pPr>
    </w:p>
    <w:p w14:paraId="61D61748" w14:textId="2266507D" w:rsidR="00177978" w:rsidRPr="00E90F29" w:rsidRDefault="00480632" w:rsidP="00E90F29">
      <w:pPr>
        <w:pStyle w:val="Heading3"/>
      </w:pPr>
      <w:bookmarkStart w:id="19" w:name="_Toc513713961"/>
      <w:r w:rsidRPr="00E90F29">
        <w:t xml:space="preserve">3.4.3 </w:t>
      </w:r>
      <w:r w:rsidR="00177978" w:rsidRPr="00E90F29">
        <w:t>Access to casefile</w:t>
      </w:r>
      <w:bookmarkEnd w:id="19"/>
      <w:r w:rsidR="00177978" w:rsidRPr="00E90F29">
        <w:t xml:space="preserve"> </w:t>
      </w:r>
    </w:p>
    <w:p w14:paraId="00A827EA" w14:textId="25AD3A25" w:rsidR="00177978" w:rsidRPr="00E90F29" w:rsidRDefault="00DE1686" w:rsidP="00E90F29">
      <w:pPr>
        <w:spacing w:line="360" w:lineRule="auto"/>
        <w:jc w:val="both"/>
        <w:rPr>
          <w:rFonts w:ascii="Arial" w:hAnsi="Arial" w:cs="Arial"/>
          <w:sz w:val="22"/>
          <w:szCs w:val="22"/>
        </w:rPr>
      </w:pPr>
      <w:r w:rsidRPr="00E90F29">
        <w:rPr>
          <w:rFonts w:ascii="Arial" w:hAnsi="Arial" w:cs="Arial"/>
          <w:sz w:val="22"/>
          <w:szCs w:val="22"/>
        </w:rPr>
        <w:t xml:space="preserve">In one case, the Panel had to deal with the question of a complainant’s access to the judicial casefile, which may constitute an element of a person’s right to access to justice and be associated with other fundamental rights, including the right to liberty (where, for instance, the complainant is detained). In </w:t>
      </w:r>
      <w:r w:rsidR="00177978" w:rsidRPr="00E90F29">
        <w:rPr>
          <w:rFonts w:ascii="Arial" w:hAnsi="Arial" w:cs="Arial"/>
          <w:i/>
          <w:sz w:val="22"/>
          <w:szCs w:val="22"/>
        </w:rPr>
        <w:t>Z against EULEX</w:t>
      </w:r>
      <w:r w:rsidR="00177978" w:rsidRPr="00E90F29">
        <w:rPr>
          <w:rFonts w:ascii="Arial" w:hAnsi="Arial" w:cs="Arial"/>
          <w:sz w:val="22"/>
          <w:szCs w:val="22"/>
        </w:rPr>
        <w:t>, 10 April 2013, par 43</w:t>
      </w:r>
      <w:r w:rsidRPr="00E90F29">
        <w:rPr>
          <w:rFonts w:ascii="Arial" w:hAnsi="Arial" w:cs="Arial"/>
          <w:sz w:val="22"/>
          <w:szCs w:val="22"/>
        </w:rPr>
        <w:t>, the Panel said the following about this particular right:</w:t>
      </w:r>
    </w:p>
    <w:p w14:paraId="05E14E7E" w14:textId="4A77752E" w:rsidR="00177978" w:rsidRPr="00E90F29" w:rsidRDefault="00177978" w:rsidP="00E90F29">
      <w:pPr>
        <w:pStyle w:val="ListParagraph"/>
        <w:suppressAutoHyphens/>
        <w:autoSpaceDE w:val="0"/>
        <w:spacing w:line="360" w:lineRule="auto"/>
        <w:jc w:val="both"/>
        <w:rPr>
          <w:rFonts w:ascii="Arial" w:hAnsi="Arial" w:cs="Arial"/>
          <w:sz w:val="22"/>
          <w:szCs w:val="22"/>
        </w:rPr>
      </w:pPr>
      <w:r w:rsidRPr="00E90F29">
        <w:rPr>
          <w:rFonts w:ascii="Arial" w:hAnsi="Arial" w:cs="Arial"/>
          <w:sz w:val="22"/>
          <w:szCs w:val="22"/>
        </w:rPr>
        <w:t>“The Panel observes that the complainant did not specify who, in his view, was responsible for the insufficient access to the case file, the prosecuting authorities or the courts.  In its opinion the Panel would have jurisdiction to examine this complaint has it been shown that the prosecuting authorities were responsible for any alleged shortcoming (see paragraphs 31 - 32 above) or that the applicant had raised this complaint expressly before the courts which failed to respond to it (see paragraph 34 above).”</w:t>
      </w:r>
    </w:p>
    <w:p w14:paraId="754CF73A" w14:textId="77777777" w:rsidR="000E0446" w:rsidRPr="00E90F29" w:rsidRDefault="000E0446" w:rsidP="00E90F29">
      <w:pPr>
        <w:spacing w:line="360" w:lineRule="auto"/>
        <w:jc w:val="both"/>
        <w:rPr>
          <w:rFonts w:ascii="Arial" w:hAnsi="Arial" w:cs="Arial"/>
          <w:sz w:val="22"/>
          <w:szCs w:val="22"/>
          <w:lang w:val="en-GB"/>
        </w:rPr>
      </w:pPr>
    </w:p>
    <w:p w14:paraId="1C61C04C" w14:textId="4A2A9776" w:rsidR="00883EB0" w:rsidRPr="00E90F29" w:rsidRDefault="00480632" w:rsidP="00E90F29">
      <w:pPr>
        <w:pStyle w:val="Heading3"/>
      </w:pPr>
      <w:bookmarkStart w:id="20" w:name="_Toc513713962"/>
      <w:r w:rsidRPr="00E90F29">
        <w:t xml:space="preserve">3.4.4 </w:t>
      </w:r>
      <w:r w:rsidR="00177978" w:rsidRPr="00E90F29">
        <w:t>Lawfulness and length of pre-trial detention</w:t>
      </w:r>
      <w:bookmarkEnd w:id="20"/>
    </w:p>
    <w:p w14:paraId="1C2BA6EE" w14:textId="49A8AE7B" w:rsidR="00B36487" w:rsidRPr="00E90F29" w:rsidRDefault="00B36487" w:rsidP="00E90F29">
      <w:pPr>
        <w:spacing w:line="360" w:lineRule="auto"/>
        <w:jc w:val="both"/>
        <w:rPr>
          <w:rFonts w:ascii="Arial" w:hAnsi="Arial" w:cs="Arial"/>
          <w:sz w:val="22"/>
          <w:szCs w:val="22"/>
        </w:rPr>
      </w:pPr>
      <w:r w:rsidRPr="00E90F29">
        <w:rPr>
          <w:rFonts w:ascii="Arial" w:hAnsi="Arial" w:cs="Arial"/>
          <w:sz w:val="22"/>
          <w:szCs w:val="22"/>
        </w:rPr>
        <w:t xml:space="preserve">The Panel </w:t>
      </w:r>
      <w:r w:rsidR="00480632" w:rsidRPr="00E90F29">
        <w:rPr>
          <w:rFonts w:ascii="Arial" w:hAnsi="Arial" w:cs="Arial"/>
          <w:sz w:val="22"/>
          <w:szCs w:val="22"/>
        </w:rPr>
        <w:t>determined on a number of occasions that it lacked</w:t>
      </w:r>
      <w:r w:rsidRPr="00E90F29">
        <w:rPr>
          <w:rFonts w:ascii="Arial" w:hAnsi="Arial" w:cs="Arial"/>
          <w:sz w:val="22"/>
          <w:szCs w:val="22"/>
        </w:rPr>
        <w:t xml:space="preserve"> jurisdiction </w:t>
      </w:r>
      <w:r w:rsidR="00480632" w:rsidRPr="00E90F29">
        <w:rPr>
          <w:rFonts w:ascii="Arial" w:hAnsi="Arial" w:cs="Arial"/>
          <w:sz w:val="22"/>
          <w:szCs w:val="22"/>
        </w:rPr>
        <w:t>to consider allegations of violations of the right to liberty associated to the length of pre-trial detention based on the fact that arose</w:t>
      </w:r>
      <w:r w:rsidRPr="00E90F29">
        <w:rPr>
          <w:rFonts w:ascii="Arial" w:hAnsi="Arial" w:cs="Arial"/>
          <w:sz w:val="22"/>
          <w:szCs w:val="22"/>
        </w:rPr>
        <w:t xml:space="preserve"> from t</w:t>
      </w:r>
      <w:r w:rsidR="00480632" w:rsidRPr="00E90F29">
        <w:rPr>
          <w:rFonts w:ascii="Arial" w:hAnsi="Arial" w:cs="Arial"/>
          <w:sz w:val="22"/>
          <w:szCs w:val="22"/>
        </w:rPr>
        <w:t>he activities of Kosovo courts over which the Panel has no competence.</w:t>
      </w:r>
      <w:r w:rsidR="00480632" w:rsidRPr="00E90F29">
        <w:rPr>
          <w:rStyle w:val="FootnoteReference"/>
          <w:rFonts w:ascii="Arial" w:hAnsi="Arial" w:cs="Arial"/>
          <w:sz w:val="22"/>
          <w:szCs w:val="22"/>
        </w:rPr>
        <w:footnoteReference w:id="25"/>
      </w:r>
    </w:p>
    <w:p w14:paraId="0F54D4B6" w14:textId="77777777" w:rsidR="00B36487" w:rsidRPr="00E90F29" w:rsidRDefault="00B36487" w:rsidP="00E90F29">
      <w:pPr>
        <w:suppressAutoHyphens/>
        <w:autoSpaceDE w:val="0"/>
        <w:spacing w:line="360" w:lineRule="auto"/>
        <w:jc w:val="both"/>
        <w:rPr>
          <w:rFonts w:ascii="Arial" w:hAnsi="Arial" w:cs="Arial"/>
          <w:i/>
          <w:sz w:val="22"/>
          <w:szCs w:val="22"/>
        </w:rPr>
      </w:pPr>
    </w:p>
    <w:p w14:paraId="432E535E" w14:textId="1EF45A81" w:rsidR="00FA5A7A" w:rsidRPr="00E90F29" w:rsidRDefault="00FA5A7A" w:rsidP="00E90F29">
      <w:pPr>
        <w:spacing w:line="360" w:lineRule="auto"/>
        <w:jc w:val="both"/>
        <w:rPr>
          <w:rFonts w:ascii="Arial" w:hAnsi="Arial" w:cs="Arial"/>
          <w:sz w:val="22"/>
          <w:szCs w:val="22"/>
          <w:lang w:val="en-GB"/>
        </w:rPr>
      </w:pPr>
    </w:p>
    <w:p w14:paraId="42A0C224" w14:textId="77777777" w:rsidR="008732C4" w:rsidRPr="00E90F29" w:rsidRDefault="008732C4" w:rsidP="00E90F29">
      <w:pPr>
        <w:spacing w:line="360" w:lineRule="auto"/>
        <w:jc w:val="both"/>
        <w:rPr>
          <w:rFonts w:ascii="Arial" w:hAnsi="Arial" w:cs="Arial"/>
          <w:sz w:val="22"/>
          <w:szCs w:val="22"/>
          <w:lang w:val="en-GB"/>
        </w:rPr>
      </w:pPr>
    </w:p>
    <w:p w14:paraId="671EE61E" w14:textId="391D031D" w:rsidR="008732C4" w:rsidRPr="00E90F29" w:rsidRDefault="00F71527" w:rsidP="00E90F29">
      <w:pPr>
        <w:pStyle w:val="Heading2"/>
      </w:pPr>
      <w:bookmarkStart w:id="21" w:name="_Toc513713963"/>
      <w:r w:rsidRPr="00E90F29">
        <w:t xml:space="preserve">3.5 </w:t>
      </w:r>
      <w:r w:rsidR="002234EB" w:rsidRPr="00E90F29">
        <w:t>Right to fair trial</w:t>
      </w:r>
      <w:bookmarkEnd w:id="21"/>
      <w:r w:rsidR="002234EB" w:rsidRPr="00E90F29">
        <w:t xml:space="preserve"> </w:t>
      </w:r>
    </w:p>
    <w:p w14:paraId="16F551B8" w14:textId="77777777" w:rsidR="00A03512" w:rsidRPr="00E90F29" w:rsidRDefault="00A03512" w:rsidP="00E90F29">
      <w:pPr>
        <w:pStyle w:val="ListParagraph"/>
        <w:spacing w:line="360" w:lineRule="auto"/>
        <w:ind w:left="1080"/>
        <w:jc w:val="both"/>
        <w:rPr>
          <w:rFonts w:ascii="Arial" w:hAnsi="Arial" w:cs="Arial"/>
          <w:b/>
          <w:color w:val="4F81BD" w:themeColor="accent1"/>
          <w:sz w:val="22"/>
          <w:szCs w:val="22"/>
          <w:lang w:val="en-GB"/>
        </w:rPr>
      </w:pPr>
    </w:p>
    <w:p w14:paraId="176A612E" w14:textId="40B0653C" w:rsidR="008732C4" w:rsidRPr="00E90F29" w:rsidRDefault="00AC5B01" w:rsidP="00E90F29">
      <w:pPr>
        <w:pStyle w:val="Heading3"/>
      </w:pPr>
      <w:bookmarkStart w:id="22" w:name="_Toc513713964"/>
      <w:r w:rsidRPr="00E90F29">
        <w:t xml:space="preserve">3.5.1 </w:t>
      </w:r>
      <w:r w:rsidR="00883EB0" w:rsidRPr="00E90F29">
        <w:t>General considerations</w:t>
      </w:r>
      <w:bookmarkEnd w:id="22"/>
      <w:r w:rsidR="00883EB0" w:rsidRPr="00E90F29">
        <w:t xml:space="preserve"> </w:t>
      </w:r>
    </w:p>
    <w:p w14:paraId="579B2EC3" w14:textId="39728DDB" w:rsidR="00883EB0" w:rsidRPr="00E90F29" w:rsidRDefault="002375C6" w:rsidP="00E90F29">
      <w:pPr>
        <w:spacing w:line="360" w:lineRule="auto"/>
        <w:jc w:val="both"/>
        <w:rPr>
          <w:rFonts w:ascii="Arial" w:hAnsi="Arial" w:cs="Arial"/>
          <w:sz w:val="22"/>
          <w:szCs w:val="22"/>
          <w:lang w:val="en-GB"/>
        </w:rPr>
      </w:pPr>
      <w:r w:rsidRPr="00E90F29">
        <w:rPr>
          <w:rFonts w:ascii="Arial" w:hAnsi="Arial" w:cs="Arial"/>
          <w:sz w:val="22"/>
          <w:szCs w:val="22"/>
          <w:lang w:val="en-GB"/>
        </w:rPr>
        <w:lastRenderedPageBreak/>
        <w:t>The Panel has had only limited caselaw regarding the protection of the right to a fair trial. That is mainly due to the fact that it does not have</w:t>
      </w:r>
      <w:r w:rsidR="00DE1686" w:rsidRPr="00E90F29">
        <w:rPr>
          <w:rFonts w:ascii="Arial" w:hAnsi="Arial" w:cs="Arial"/>
          <w:sz w:val="22"/>
          <w:szCs w:val="22"/>
          <w:lang w:val="en-GB"/>
        </w:rPr>
        <w:t xml:space="preserve"> jurisdictional</w:t>
      </w:r>
      <w:r w:rsidRPr="00E90F29">
        <w:rPr>
          <w:rFonts w:ascii="Arial" w:hAnsi="Arial" w:cs="Arial"/>
          <w:sz w:val="22"/>
          <w:szCs w:val="22"/>
          <w:lang w:val="en-GB"/>
        </w:rPr>
        <w:t xml:space="preserve"> competence over the actions of Kosovo courts.</w:t>
      </w:r>
      <w:r w:rsidRPr="00E90F29">
        <w:rPr>
          <w:rStyle w:val="FootnoteReference"/>
          <w:rFonts w:ascii="Arial" w:hAnsi="Arial" w:cs="Arial"/>
          <w:sz w:val="22"/>
          <w:szCs w:val="22"/>
          <w:lang w:val="en-GB"/>
        </w:rPr>
        <w:footnoteReference w:id="26"/>
      </w:r>
      <w:r w:rsidRPr="00E90F29">
        <w:rPr>
          <w:rFonts w:ascii="Arial" w:hAnsi="Arial" w:cs="Arial"/>
          <w:sz w:val="22"/>
          <w:szCs w:val="22"/>
          <w:lang w:val="en-GB"/>
        </w:rPr>
        <w:t xml:space="preserve"> </w:t>
      </w:r>
      <w:r w:rsidR="00835420" w:rsidRPr="00E90F29">
        <w:rPr>
          <w:rFonts w:ascii="Arial" w:hAnsi="Arial" w:cs="Arial"/>
          <w:sz w:val="22"/>
          <w:szCs w:val="22"/>
          <w:lang w:val="en-GB"/>
        </w:rPr>
        <w:t xml:space="preserve">Despite the absence of competence over the activities of Kosovo courts, the panel has made a number of comments and </w:t>
      </w:r>
      <w:proofErr w:type="spellStart"/>
      <w:r w:rsidR="00835420" w:rsidRPr="00E90F29">
        <w:rPr>
          <w:rFonts w:ascii="Arial" w:hAnsi="Arial" w:cs="Arial"/>
          <w:sz w:val="22"/>
          <w:szCs w:val="22"/>
          <w:lang w:val="en-GB"/>
        </w:rPr>
        <w:t>observatiosn</w:t>
      </w:r>
      <w:proofErr w:type="spellEnd"/>
      <w:r w:rsidR="00835420" w:rsidRPr="00E90F29">
        <w:rPr>
          <w:rFonts w:ascii="Arial" w:hAnsi="Arial" w:cs="Arial"/>
          <w:sz w:val="22"/>
          <w:szCs w:val="22"/>
          <w:lang w:val="en-GB"/>
        </w:rPr>
        <w:t xml:space="preserve"> regarding certain aspects of the fundamental rights to a fair trial and associated guarantees. </w:t>
      </w:r>
    </w:p>
    <w:p w14:paraId="049D8EE6" w14:textId="77777777" w:rsidR="000E0446" w:rsidRPr="00E90F29" w:rsidRDefault="000E0446" w:rsidP="00E90F29">
      <w:pPr>
        <w:spacing w:line="360" w:lineRule="auto"/>
        <w:jc w:val="both"/>
        <w:rPr>
          <w:rFonts w:ascii="Arial" w:hAnsi="Arial" w:cs="Arial"/>
          <w:sz w:val="22"/>
          <w:szCs w:val="22"/>
          <w:lang w:val="en-GB"/>
        </w:rPr>
      </w:pPr>
    </w:p>
    <w:p w14:paraId="62BABA76" w14:textId="4A287FF2" w:rsidR="00883EB0" w:rsidRPr="00E90F29" w:rsidRDefault="00AC5B01" w:rsidP="00E90F29">
      <w:pPr>
        <w:pStyle w:val="Heading3"/>
      </w:pPr>
      <w:bookmarkStart w:id="23" w:name="_Toc513713965"/>
      <w:r w:rsidRPr="00E90F29">
        <w:t xml:space="preserve">3.5.2 </w:t>
      </w:r>
      <w:r w:rsidR="00883EB0" w:rsidRPr="00E90F29">
        <w:t>Length of proceedings</w:t>
      </w:r>
      <w:bookmarkEnd w:id="23"/>
      <w:r w:rsidR="00883EB0" w:rsidRPr="00E90F29">
        <w:t xml:space="preserve"> </w:t>
      </w:r>
    </w:p>
    <w:p w14:paraId="12754C4D" w14:textId="77777777" w:rsidR="006001FD" w:rsidRPr="00E90F29" w:rsidRDefault="00835420" w:rsidP="00E90F29">
      <w:pPr>
        <w:spacing w:line="360" w:lineRule="auto"/>
        <w:jc w:val="both"/>
        <w:rPr>
          <w:rFonts w:ascii="Arial" w:hAnsi="Arial" w:cs="Arial"/>
          <w:sz w:val="22"/>
          <w:szCs w:val="22"/>
        </w:rPr>
      </w:pPr>
      <w:r w:rsidRPr="00E90F29">
        <w:rPr>
          <w:rFonts w:ascii="Arial" w:hAnsi="Arial" w:cs="Arial"/>
          <w:sz w:val="22"/>
          <w:szCs w:val="22"/>
          <w:lang w:val="en-GB"/>
        </w:rPr>
        <w:t xml:space="preserve">In </w:t>
      </w:r>
      <w:proofErr w:type="spellStart"/>
      <w:r w:rsidRPr="00E90F29">
        <w:rPr>
          <w:rFonts w:ascii="Arial" w:hAnsi="Arial" w:cs="Arial"/>
          <w:i/>
          <w:sz w:val="22"/>
          <w:szCs w:val="22"/>
        </w:rPr>
        <w:t>Maksutaj</w:t>
      </w:r>
      <w:proofErr w:type="spellEnd"/>
      <w:r w:rsidRPr="00E90F29">
        <w:rPr>
          <w:rFonts w:ascii="Arial" w:hAnsi="Arial" w:cs="Arial"/>
          <w:sz w:val="22"/>
          <w:szCs w:val="22"/>
        </w:rPr>
        <w:t>, t</w:t>
      </w:r>
      <w:r w:rsidR="00143151" w:rsidRPr="00E90F29">
        <w:rPr>
          <w:rFonts w:ascii="Arial" w:hAnsi="Arial" w:cs="Arial"/>
          <w:sz w:val="22"/>
          <w:szCs w:val="22"/>
          <w:lang w:val="en-GB"/>
        </w:rPr>
        <w:t>he Panel has pointed out that t</w:t>
      </w:r>
      <w:r w:rsidR="00143151" w:rsidRPr="00E90F29">
        <w:rPr>
          <w:rFonts w:ascii="Arial" w:hAnsi="Arial" w:cs="Arial"/>
          <w:sz w:val="22"/>
          <w:szCs w:val="22"/>
        </w:rPr>
        <w:t>he right to a fair and public hearing within a reasonable time as understood under Article 6 (1) of the Convention is designed to protect all parties to court proceedings….against excessive procedural delays.</w:t>
      </w:r>
      <w:r w:rsidR="00143151" w:rsidRPr="00E90F29">
        <w:rPr>
          <w:rStyle w:val="FootnoteReference"/>
          <w:rFonts w:ascii="Arial" w:hAnsi="Arial" w:cs="Arial"/>
          <w:sz w:val="22"/>
          <w:szCs w:val="22"/>
        </w:rPr>
        <w:footnoteReference w:id="27"/>
      </w:r>
      <w:r w:rsidR="00143151" w:rsidRPr="00E90F29">
        <w:rPr>
          <w:rFonts w:ascii="Arial" w:hAnsi="Arial" w:cs="Arial"/>
          <w:sz w:val="22"/>
          <w:szCs w:val="22"/>
        </w:rPr>
        <w:t xml:space="preserve"> In addition, in criminal cases the right </w:t>
      </w:r>
      <w:r w:rsidR="006001FD" w:rsidRPr="00E90F29">
        <w:rPr>
          <w:rFonts w:ascii="Arial" w:hAnsi="Arial" w:cs="Arial"/>
          <w:sz w:val="22"/>
          <w:szCs w:val="22"/>
        </w:rPr>
        <w:t xml:space="preserve">to prompt proceedings was said by the Panel to be </w:t>
      </w:r>
      <w:r w:rsidR="00143151" w:rsidRPr="00E90F29">
        <w:rPr>
          <w:rFonts w:ascii="Arial" w:hAnsi="Arial" w:cs="Arial"/>
          <w:sz w:val="22"/>
          <w:szCs w:val="22"/>
        </w:rPr>
        <w:t>designed to avoid that a person charged should remain too long in a state of uncertainty about his fate.</w:t>
      </w:r>
      <w:r w:rsidR="00143151" w:rsidRPr="00E90F29">
        <w:rPr>
          <w:rStyle w:val="FootnoteReference"/>
          <w:rFonts w:ascii="Arial" w:hAnsi="Arial" w:cs="Arial"/>
          <w:sz w:val="22"/>
          <w:szCs w:val="22"/>
        </w:rPr>
        <w:footnoteReference w:id="28"/>
      </w:r>
      <w:r w:rsidR="00143151" w:rsidRPr="00E90F29">
        <w:rPr>
          <w:rFonts w:ascii="Arial" w:hAnsi="Arial" w:cs="Arial"/>
          <w:sz w:val="22"/>
          <w:szCs w:val="22"/>
        </w:rPr>
        <w:t xml:space="preserve"> </w:t>
      </w:r>
    </w:p>
    <w:p w14:paraId="55F2B0AD" w14:textId="77777777" w:rsidR="006001FD" w:rsidRPr="00E90F29" w:rsidRDefault="006001FD" w:rsidP="00E90F29">
      <w:pPr>
        <w:spacing w:line="360" w:lineRule="auto"/>
        <w:jc w:val="both"/>
        <w:rPr>
          <w:rFonts w:ascii="Arial" w:hAnsi="Arial" w:cs="Arial"/>
          <w:sz w:val="22"/>
          <w:szCs w:val="22"/>
        </w:rPr>
      </w:pPr>
    </w:p>
    <w:p w14:paraId="3FBB3818" w14:textId="3812AC6E" w:rsidR="008C161B" w:rsidRPr="00E90F29" w:rsidRDefault="00143151" w:rsidP="00E90F29">
      <w:pPr>
        <w:spacing w:line="360" w:lineRule="auto"/>
        <w:jc w:val="both"/>
        <w:rPr>
          <w:rFonts w:ascii="Arial" w:hAnsi="Arial" w:cs="Arial"/>
          <w:sz w:val="22"/>
          <w:szCs w:val="22"/>
        </w:rPr>
      </w:pPr>
      <w:r w:rsidRPr="00E90F29">
        <w:rPr>
          <w:rFonts w:ascii="Arial" w:hAnsi="Arial" w:cs="Arial"/>
          <w:sz w:val="22"/>
          <w:szCs w:val="22"/>
        </w:rPr>
        <w:t>In considering the reasonableness of the length of proceedings, the Panel said, it is required to examine the particular circumstances of the case and consider these factors as relevant to that evaluation: (1) the complexity of the case, (2) the conduct of the applicant, and: (3) the conduct of the competent administration.</w:t>
      </w:r>
      <w:r w:rsidRPr="00E90F29">
        <w:rPr>
          <w:rStyle w:val="FootnoteReference"/>
          <w:rFonts w:ascii="Arial" w:hAnsi="Arial" w:cs="Arial"/>
          <w:sz w:val="22"/>
          <w:szCs w:val="22"/>
        </w:rPr>
        <w:footnoteReference w:id="29"/>
      </w:r>
      <w:r w:rsidRPr="00E90F29">
        <w:rPr>
          <w:rFonts w:ascii="Arial" w:hAnsi="Arial" w:cs="Arial"/>
          <w:sz w:val="22"/>
          <w:szCs w:val="22"/>
        </w:rPr>
        <w:t xml:space="preserve"> </w:t>
      </w:r>
      <w:r w:rsidR="006001FD" w:rsidRPr="00E90F29">
        <w:rPr>
          <w:rFonts w:ascii="Arial" w:hAnsi="Arial" w:cs="Arial"/>
          <w:sz w:val="22"/>
          <w:szCs w:val="22"/>
        </w:rPr>
        <w:t>As stated by the panel, u</w:t>
      </w:r>
      <w:r w:rsidRPr="00E90F29">
        <w:rPr>
          <w:rFonts w:ascii="Arial" w:hAnsi="Arial" w:cs="Arial"/>
          <w:sz w:val="22"/>
          <w:szCs w:val="22"/>
        </w:rPr>
        <w:t>n-explained delays in the proceedings, even a single incident of it</w:t>
      </w:r>
      <w:r w:rsidR="006001FD" w:rsidRPr="00E90F29">
        <w:rPr>
          <w:rFonts w:ascii="Arial" w:hAnsi="Arial" w:cs="Arial"/>
          <w:sz w:val="22"/>
          <w:szCs w:val="22"/>
        </w:rPr>
        <w:t>,</w:t>
      </w:r>
      <w:r w:rsidRPr="00E90F29">
        <w:rPr>
          <w:rFonts w:ascii="Arial" w:hAnsi="Arial" w:cs="Arial"/>
          <w:sz w:val="22"/>
          <w:szCs w:val="22"/>
        </w:rPr>
        <w:t xml:space="preserve"> could raise an issue under that guarantee: </w:t>
      </w:r>
    </w:p>
    <w:p w14:paraId="6184B2EB" w14:textId="0C63D8DF" w:rsidR="00143151" w:rsidRPr="00E90F29" w:rsidRDefault="00143151" w:rsidP="00E90F29">
      <w:pPr>
        <w:spacing w:line="360" w:lineRule="auto"/>
        <w:ind w:left="567"/>
        <w:jc w:val="both"/>
        <w:rPr>
          <w:rFonts w:ascii="Arial" w:hAnsi="Arial" w:cs="Arial"/>
          <w:sz w:val="22"/>
          <w:szCs w:val="22"/>
        </w:rPr>
      </w:pPr>
      <w:r w:rsidRPr="00E90F29">
        <w:rPr>
          <w:rFonts w:ascii="Arial" w:hAnsi="Arial" w:cs="Arial"/>
          <w:sz w:val="22"/>
          <w:szCs w:val="22"/>
        </w:rPr>
        <w:t xml:space="preserve">“The Panel considers that the handling of this particular element of the investigation by the EULEX Prosecutor, absent any cogent explanation and absent any evidence of a follow up on this line of investigation, constitutes a serious deficiency of the investigation. This has affected the overall duration of the process without any apparent benefits for its resolution. The Panel is mindful of the case-law of the Court in this regard where it has found breaches of Article 6 (1) of the Convention on the basis of a single instance of unexplained delay of sufficient duration regardless of the overall length of the proceedings (See </w:t>
      </w:r>
      <w:proofErr w:type="spellStart"/>
      <w:r w:rsidRPr="00E90F29">
        <w:rPr>
          <w:rFonts w:ascii="Arial" w:hAnsi="Arial" w:cs="Arial"/>
          <w:sz w:val="22"/>
          <w:szCs w:val="22"/>
        </w:rPr>
        <w:t>Bunate</w:t>
      </w:r>
      <w:proofErr w:type="spellEnd"/>
      <w:r w:rsidRPr="00E90F29">
        <w:rPr>
          <w:rFonts w:ascii="Arial" w:hAnsi="Arial" w:cs="Arial"/>
          <w:sz w:val="22"/>
          <w:szCs w:val="22"/>
        </w:rPr>
        <w:t xml:space="preserve"> </w:t>
      </w:r>
      <w:proofErr w:type="spellStart"/>
      <w:r w:rsidRPr="00E90F29">
        <w:rPr>
          <w:rFonts w:ascii="Arial" w:hAnsi="Arial" w:cs="Arial"/>
          <w:sz w:val="22"/>
          <w:szCs w:val="22"/>
        </w:rPr>
        <w:t>Bunkate</w:t>
      </w:r>
      <w:proofErr w:type="spellEnd"/>
      <w:r w:rsidRPr="00E90F29">
        <w:rPr>
          <w:rFonts w:ascii="Arial" w:hAnsi="Arial" w:cs="Arial"/>
          <w:sz w:val="22"/>
          <w:szCs w:val="22"/>
        </w:rPr>
        <w:t xml:space="preserve"> v Netherlands A 248-B (1993); 19 EHHR 477. </w:t>
      </w:r>
      <w:proofErr w:type="spellStart"/>
      <w:r w:rsidRPr="00E90F29">
        <w:rPr>
          <w:rFonts w:ascii="Arial" w:hAnsi="Arial" w:cs="Arial"/>
          <w:sz w:val="22"/>
          <w:szCs w:val="22"/>
        </w:rPr>
        <w:t>Cf</w:t>
      </w:r>
      <w:proofErr w:type="spellEnd"/>
      <w:r w:rsidRPr="00E90F29">
        <w:rPr>
          <w:rFonts w:ascii="Arial" w:hAnsi="Arial" w:cs="Arial"/>
          <w:sz w:val="22"/>
          <w:szCs w:val="22"/>
        </w:rPr>
        <w:t xml:space="preserve">, </w:t>
      </w:r>
      <w:proofErr w:type="spellStart"/>
      <w:r w:rsidRPr="00E90F29">
        <w:rPr>
          <w:rFonts w:ascii="Arial" w:hAnsi="Arial" w:cs="Arial"/>
          <w:sz w:val="22"/>
          <w:szCs w:val="22"/>
        </w:rPr>
        <w:t>Kudla</w:t>
      </w:r>
      <w:proofErr w:type="spellEnd"/>
      <w:r w:rsidRPr="00E90F29">
        <w:rPr>
          <w:rFonts w:ascii="Arial" w:hAnsi="Arial" w:cs="Arial"/>
          <w:sz w:val="22"/>
          <w:szCs w:val="22"/>
        </w:rPr>
        <w:t xml:space="preserve"> v </w:t>
      </w:r>
      <w:r w:rsidRPr="00E90F29">
        <w:rPr>
          <w:rFonts w:ascii="Arial" w:hAnsi="Arial" w:cs="Arial"/>
          <w:sz w:val="22"/>
          <w:szCs w:val="22"/>
        </w:rPr>
        <w:lastRenderedPageBreak/>
        <w:t>Poland 2000-XI; 25 EHHR 198 GC). The Panel takes the view that these shortcomings of the investigation had a negative impact on the overall length of time it took to decide this case and contributed to a denial of the right of the complainant to a speedy resolution of the case against him.”</w:t>
      </w:r>
      <w:r w:rsidRPr="00E90F29">
        <w:rPr>
          <w:rStyle w:val="FootnoteReference"/>
          <w:rFonts w:ascii="Arial" w:hAnsi="Arial" w:cs="Arial"/>
          <w:sz w:val="22"/>
          <w:szCs w:val="22"/>
        </w:rPr>
        <w:footnoteReference w:id="30"/>
      </w:r>
    </w:p>
    <w:p w14:paraId="22EE47F3" w14:textId="7BD3C128" w:rsidR="00143151" w:rsidRPr="00E90F29" w:rsidRDefault="00143151" w:rsidP="00E90F29">
      <w:pPr>
        <w:spacing w:line="360" w:lineRule="auto"/>
        <w:jc w:val="both"/>
        <w:rPr>
          <w:rFonts w:ascii="Arial" w:hAnsi="Arial" w:cs="Arial"/>
          <w:sz w:val="22"/>
          <w:szCs w:val="22"/>
        </w:rPr>
      </w:pPr>
    </w:p>
    <w:p w14:paraId="57CBBDF1" w14:textId="3517EF03" w:rsidR="00274F43" w:rsidRPr="00E90F29" w:rsidRDefault="00143151" w:rsidP="00E90F29">
      <w:pPr>
        <w:spacing w:line="360" w:lineRule="auto"/>
        <w:jc w:val="both"/>
        <w:rPr>
          <w:rFonts w:ascii="Arial" w:hAnsi="Arial" w:cs="Arial"/>
          <w:sz w:val="22"/>
          <w:szCs w:val="22"/>
        </w:rPr>
      </w:pPr>
      <w:r w:rsidRPr="00E90F29">
        <w:rPr>
          <w:rFonts w:ascii="Arial" w:hAnsi="Arial" w:cs="Arial"/>
          <w:sz w:val="22"/>
          <w:szCs w:val="22"/>
        </w:rPr>
        <w:t xml:space="preserve">In evaluating </w:t>
      </w:r>
      <w:r w:rsidR="00274F43" w:rsidRPr="00E90F29">
        <w:rPr>
          <w:rFonts w:ascii="Arial" w:hAnsi="Arial" w:cs="Arial"/>
          <w:sz w:val="22"/>
          <w:szCs w:val="22"/>
        </w:rPr>
        <w:t>a particular course of action taken by the authorities, the Panel will also consider the consequences of that conduct upon the person or persons concerned.</w:t>
      </w:r>
      <w:r w:rsidR="00274F43" w:rsidRPr="00E90F29">
        <w:rPr>
          <w:rStyle w:val="FootnoteReference"/>
          <w:rFonts w:ascii="Arial" w:hAnsi="Arial" w:cs="Arial"/>
          <w:sz w:val="22"/>
          <w:szCs w:val="22"/>
        </w:rPr>
        <w:footnoteReference w:id="31"/>
      </w:r>
      <w:r w:rsidR="00274F43" w:rsidRPr="00E90F29">
        <w:rPr>
          <w:rFonts w:ascii="Arial" w:hAnsi="Arial" w:cs="Arial"/>
          <w:sz w:val="22"/>
          <w:szCs w:val="22"/>
        </w:rPr>
        <w:t xml:space="preserve"> In </w:t>
      </w:r>
      <w:proofErr w:type="spellStart"/>
      <w:r w:rsidR="00274F43" w:rsidRPr="00E90F29">
        <w:rPr>
          <w:rFonts w:ascii="Arial" w:hAnsi="Arial" w:cs="Arial"/>
          <w:i/>
          <w:sz w:val="22"/>
          <w:szCs w:val="22"/>
        </w:rPr>
        <w:t>Maksutaj</w:t>
      </w:r>
      <w:proofErr w:type="spellEnd"/>
      <w:r w:rsidR="00274F43" w:rsidRPr="00E90F29">
        <w:rPr>
          <w:rFonts w:ascii="Arial" w:hAnsi="Arial" w:cs="Arial"/>
          <w:sz w:val="22"/>
          <w:szCs w:val="22"/>
        </w:rPr>
        <w:t xml:space="preserve">, for instance, the attention of the authorities was drawn to the fact that the complainant was currently unable to get employment while under investigation and urged the EULEX Prosecutor to solve this matter. Drawing attention to the ECHR’s approach of such matters, the Panel noted that </w:t>
      </w:r>
      <w:r w:rsidR="00CB6BA1" w:rsidRPr="00E90F29">
        <w:rPr>
          <w:rFonts w:ascii="Arial" w:hAnsi="Arial" w:cs="Arial"/>
          <w:sz w:val="22"/>
          <w:szCs w:val="22"/>
        </w:rPr>
        <w:t>an</w:t>
      </w:r>
      <w:r w:rsidR="00274F43" w:rsidRPr="00E90F29">
        <w:rPr>
          <w:rFonts w:ascii="Arial" w:hAnsi="Arial" w:cs="Arial"/>
          <w:sz w:val="22"/>
          <w:szCs w:val="22"/>
        </w:rPr>
        <w:t xml:space="preserve"> administration is required to </w:t>
      </w:r>
      <w:r w:rsidR="00CB6BA1" w:rsidRPr="00E90F29">
        <w:rPr>
          <w:rFonts w:ascii="Arial" w:hAnsi="Arial" w:cs="Arial"/>
          <w:sz w:val="22"/>
          <w:szCs w:val="22"/>
        </w:rPr>
        <w:t>act with particular expeditiousness and responsiveness</w:t>
      </w:r>
      <w:r w:rsidR="00274F43" w:rsidRPr="00E90F29">
        <w:rPr>
          <w:rFonts w:ascii="Arial" w:hAnsi="Arial" w:cs="Arial"/>
          <w:sz w:val="22"/>
          <w:szCs w:val="22"/>
        </w:rPr>
        <w:t xml:space="preserve"> </w:t>
      </w:r>
      <w:r w:rsidR="00CB6BA1" w:rsidRPr="00E90F29">
        <w:rPr>
          <w:rFonts w:ascii="Arial" w:hAnsi="Arial" w:cs="Arial"/>
          <w:sz w:val="22"/>
          <w:szCs w:val="22"/>
        </w:rPr>
        <w:t>where a failure to do so would have particular grave consequences for</w:t>
      </w:r>
      <w:r w:rsidR="00274F43" w:rsidRPr="00E90F29">
        <w:rPr>
          <w:rFonts w:ascii="Arial" w:hAnsi="Arial" w:cs="Arial"/>
          <w:sz w:val="22"/>
          <w:szCs w:val="22"/>
        </w:rPr>
        <w:t xml:space="preserve"> the complainant.</w:t>
      </w:r>
      <w:r w:rsidR="00274F43" w:rsidRPr="00E90F29">
        <w:rPr>
          <w:rStyle w:val="FootnoteReference"/>
          <w:rFonts w:ascii="Arial" w:hAnsi="Arial" w:cs="Arial"/>
          <w:sz w:val="22"/>
          <w:szCs w:val="22"/>
        </w:rPr>
        <w:footnoteReference w:id="32"/>
      </w:r>
      <w:r w:rsidR="00274F43" w:rsidRPr="00E90F29">
        <w:rPr>
          <w:rFonts w:ascii="Arial" w:hAnsi="Arial" w:cs="Arial"/>
          <w:sz w:val="22"/>
          <w:szCs w:val="22"/>
        </w:rPr>
        <w:t xml:space="preserve"> The Panel noted in relation to that </w:t>
      </w:r>
      <w:r w:rsidR="00CB6BA1" w:rsidRPr="00E90F29">
        <w:rPr>
          <w:rFonts w:ascii="Arial" w:hAnsi="Arial" w:cs="Arial"/>
          <w:sz w:val="22"/>
          <w:szCs w:val="22"/>
        </w:rPr>
        <w:t xml:space="preserve">particular </w:t>
      </w:r>
      <w:r w:rsidR="00274F43" w:rsidRPr="00E90F29">
        <w:rPr>
          <w:rFonts w:ascii="Arial" w:hAnsi="Arial" w:cs="Arial"/>
          <w:sz w:val="22"/>
          <w:szCs w:val="22"/>
        </w:rPr>
        <w:t xml:space="preserve">case that despite the EULEX Prosecutor </w:t>
      </w:r>
      <w:r w:rsidR="00CB6BA1" w:rsidRPr="00E90F29">
        <w:rPr>
          <w:rFonts w:ascii="Arial" w:hAnsi="Arial" w:cs="Arial"/>
          <w:sz w:val="22"/>
          <w:szCs w:val="22"/>
        </w:rPr>
        <w:t>having been</w:t>
      </w:r>
      <w:r w:rsidR="00274F43" w:rsidRPr="00E90F29">
        <w:rPr>
          <w:rFonts w:ascii="Arial" w:hAnsi="Arial" w:cs="Arial"/>
          <w:sz w:val="22"/>
          <w:szCs w:val="22"/>
        </w:rPr>
        <w:t xml:space="preserve"> put on notice of the complainant’s </w:t>
      </w:r>
      <w:r w:rsidR="00CB6BA1" w:rsidRPr="00E90F29">
        <w:rPr>
          <w:rFonts w:ascii="Arial" w:hAnsi="Arial" w:cs="Arial"/>
          <w:sz w:val="22"/>
          <w:szCs w:val="22"/>
        </w:rPr>
        <w:t>employment difficulties arising from the proceedings</w:t>
      </w:r>
      <w:r w:rsidR="00274F43" w:rsidRPr="00E90F29">
        <w:rPr>
          <w:rFonts w:ascii="Arial" w:hAnsi="Arial" w:cs="Arial"/>
          <w:sz w:val="22"/>
          <w:szCs w:val="22"/>
        </w:rPr>
        <w:t xml:space="preserve">, no response was provided to the complainant to his request for clarification and resolution of the matter. Not until </w:t>
      </w:r>
      <w:r w:rsidR="00CB6BA1" w:rsidRPr="00E90F29">
        <w:rPr>
          <w:rFonts w:ascii="Arial" w:hAnsi="Arial" w:cs="Arial"/>
          <w:sz w:val="22"/>
          <w:szCs w:val="22"/>
        </w:rPr>
        <w:t>much later</w:t>
      </w:r>
      <w:r w:rsidR="00274F43" w:rsidRPr="00E90F29">
        <w:rPr>
          <w:rFonts w:ascii="Arial" w:hAnsi="Arial" w:cs="Arial"/>
          <w:sz w:val="22"/>
          <w:szCs w:val="22"/>
        </w:rPr>
        <w:t xml:space="preserve"> did the EULEX Prosecutor issue a Ruling of Terminating the Investigation against H.N., a co-defendant of the complainant. The Panel concluded that the proceedings (which lasted from January 2009 until 15 December 2014) were not conducted with the necessary level of diligence and expeditiousness and that the case was left untouched for a long period of time and the complainant </w:t>
      </w:r>
      <w:r w:rsidR="00CB6BA1" w:rsidRPr="00E90F29">
        <w:rPr>
          <w:rFonts w:ascii="Arial" w:hAnsi="Arial" w:cs="Arial"/>
          <w:sz w:val="22"/>
          <w:szCs w:val="22"/>
        </w:rPr>
        <w:t xml:space="preserve">was </w:t>
      </w:r>
      <w:r w:rsidR="00274F43" w:rsidRPr="00E90F29">
        <w:rPr>
          <w:rFonts w:ascii="Arial" w:hAnsi="Arial" w:cs="Arial"/>
          <w:sz w:val="22"/>
          <w:szCs w:val="22"/>
        </w:rPr>
        <w:t xml:space="preserve">left in the dark as to the status of his case despite repeated requests for clarification. These unjustified delays, the Panel held, resulted in a violation of the complainant’s right to a fair and public hearing within a reasonable time under Article 6 (1) of the </w:t>
      </w:r>
      <w:r w:rsidR="00CB6BA1" w:rsidRPr="00E90F29">
        <w:rPr>
          <w:rFonts w:ascii="Arial" w:hAnsi="Arial" w:cs="Arial"/>
          <w:sz w:val="22"/>
          <w:szCs w:val="22"/>
        </w:rPr>
        <w:t xml:space="preserve">European </w:t>
      </w:r>
      <w:r w:rsidR="00274F43" w:rsidRPr="00E90F29">
        <w:rPr>
          <w:rFonts w:ascii="Arial" w:hAnsi="Arial" w:cs="Arial"/>
          <w:sz w:val="22"/>
          <w:szCs w:val="22"/>
        </w:rPr>
        <w:t>Convention.</w:t>
      </w:r>
      <w:r w:rsidR="00274F43" w:rsidRPr="00E90F29">
        <w:rPr>
          <w:rStyle w:val="FootnoteReference"/>
          <w:rFonts w:ascii="Arial" w:hAnsi="Arial" w:cs="Arial"/>
          <w:sz w:val="22"/>
          <w:szCs w:val="22"/>
        </w:rPr>
        <w:footnoteReference w:id="33"/>
      </w:r>
    </w:p>
    <w:p w14:paraId="39E3CA10" w14:textId="77777777" w:rsidR="00F3735C" w:rsidRPr="00E90F29" w:rsidRDefault="00F3735C" w:rsidP="00E90F29">
      <w:pPr>
        <w:spacing w:line="360" w:lineRule="auto"/>
        <w:jc w:val="both"/>
        <w:rPr>
          <w:rFonts w:ascii="Arial" w:hAnsi="Arial" w:cs="Arial"/>
          <w:sz w:val="22"/>
          <w:szCs w:val="22"/>
        </w:rPr>
      </w:pPr>
    </w:p>
    <w:p w14:paraId="72CBA073" w14:textId="7D9899FE" w:rsidR="00F3735C" w:rsidRPr="00E90F29" w:rsidRDefault="00F3735C" w:rsidP="00E90F29">
      <w:pPr>
        <w:spacing w:line="360" w:lineRule="auto"/>
        <w:jc w:val="both"/>
        <w:rPr>
          <w:rFonts w:ascii="Arial" w:hAnsi="Arial" w:cs="Arial"/>
          <w:sz w:val="22"/>
          <w:szCs w:val="22"/>
        </w:rPr>
      </w:pPr>
      <w:r w:rsidRPr="00E90F29">
        <w:rPr>
          <w:rFonts w:ascii="Arial" w:hAnsi="Arial" w:cs="Arial"/>
          <w:sz w:val="22"/>
          <w:szCs w:val="22"/>
        </w:rPr>
        <w:t xml:space="preserve">In </w:t>
      </w:r>
      <w:proofErr w:type="spellStart"/>
      <w:r w:rsidRPr="00E90F29">
        <w:rPr>
          <w:rFonts w:ascii="Arial" w:hAnsi="Arial" w:cs="Arial"/>
          <w:i/>
          <w:sz w:val="22"/>
          <w:szCs w:val="22"/>
        </w:rPr>
        <w:t>Djeljalj</w:t>
      </w:r>
      <w:proofErr w:type="spellEnd"/>
      <w:r w:rsidRPr="00E90F29">
        <w:rPr>
          <w:rFonts w:ascii="Arial" w:hAnsi="Arial" w:cs="Arial"/>
          <w:sz w:val="22"/>
          <w:szCs w:val="22"/>
        </w:rPr>
        <w:t xml:space="preserve">, the Panel found that that civil proceedings with regard to the property which remained pending for over five years </w:t>
      </w:r>
      <w:r w:rsidR="00CB6BA1" w:rsidRPr="00E90F29">
        <w:rPr>
          <w:rFonts w:ascii="Arial" w:hAnsi="Arial" w:cs="Arial"/>
          <w:sz w:val="22"/>
          <w:szCs w:val="22"/>
        </w:rPr>
        <w:t>could not</w:t>
      </w:r>
      <w:r w:rsidRPr="00E90F29">
        <w:rPr>
          <w:rFonts w:ascii="Arial" w:hAnsi="Arial" w:cs="Arial"/>
          <w:sz w:val="22"/>
          <w:szCs w:val="22"/>
        </w:rPr>
        <w:t xml:space="preserve"> be regarded as compatible with the complainant’s right to have his case heard within a reasonabl</w:t>
      </w:r>
      <w:r w:rsidR="00CB6BA1" w:rsidRPr="00E90F29">
        <w:rPr>
          <w:rFonts w:ascii="Arial" w:hAnsi="Arial" w:cs="Arial"/>
          <w:sz w:val="22"/>
          <w:szCs w:val="22"/>
        </w:rPr>
        <w:t>e time guaranteed by Article 6 (</w:t>
      </w:r>
      <w:r w:rsidRPr="00E90F29">
        <w:rPr>
          <w:rFonts w:ascii="Arial" w:hAnsi="Arial" w:cs="Arial"/>
          <w:sz w:val="22"/>
          <w:szCs w:val="22"/>
        </w:rPr>
        <w:t>1</w:t>
      </w:r>
      <w:r w:rsidR="00CB6BA1" w:rsidRPr="00E90F29">
        <w:rPr>
          <w:rFonts w:ascii="Arial" w:hAnsi="Arial" w:cs="Arial"/>
          <w:sz w:val="22"/>
          <w:szCs w:val="22"/>
        </w:rPr>
        <w:t>)</w:t>
      </w:r>
      <w:r w:rsidRPr="00E90F29">
        <w:rPr>
          <w:rFonts w:ascii="Arial" w:hAnsi="Arial" w:cs="Arial"/>
          <w:sz w:val="22"/>
          <w:szCs w:val="22"/>
        </w:rPr>
        <w:t xml:space="preserve"> of the ECHR.</w:t>
      </w:r>
      <w:r w:rsidRPr="00E90F29">
        <w:rPr>
          <w:rStyle w:val="FootnoteReference"/>
          <w:rFonts w:ascii="Arial" w:hAnsi="Arial" w:cs="Arial"/>
          <w:sz w:val="22"/>
          <w:szCs w:val="22"/>
        </w:rPr>
        <w:footnoteReference w:id="34"/>
      </w:r>
    </w:p>
    <w:p w14:paraId="13E31FF4" w14:textId="77777777" w:rsidR="00274F43" w:rsidRPr="00E90F29" w:rsidRDefault="00274F43" w:rsidP="00E90F29">
      <w:pPr>
        <w:spacing w:line="360" w:lineRule="auto"/>
        <w:jc w:val="both"/>
        <w:rPr>
          <w:rFonts w:ascii="Arial" w:hAnsi="Arial" w:cs="Arial"/>
          <w:sz w:val="22"/>
          <w:szCs w:val="22"/>
        </w:rPr>
      </w:pPr>
    </w:p>
    <w:p w14:paraId="789044F9" w14:textId="4B09823F" w:rsidR="00CE7B7B" w:rsidRPr="00E90F29" w:rsidRDefault="00143151" w:rsidP="00E90F29">
      <w:pPr>
        <w:spacing w:line="360" w:lineRule="auto"/>
        <w:jc w:val="both"/>
        <w:rPr>
          <w:rFonts w:ascii="Arial" w:hAnsi="Arial" w:cs="Arial"/>
          <w:sz w:val="22"/>
          <w:szCs w:val="22"/>
        </w:rPr>
      </w:pPr>
      <w:r w:rsidRPr="00E90F29">
        <w:rPr>
          <w:rFonts w:ascii="Arial" w:hAnsi="Arial" w:cs="Arial"/>
          <w:sz w:val="22"/>
          <w:szCs w:val="22"/>
        </w:rPr>
        <w:lastRenderedPageBreak/>
        <w:t xml:space="preserve">In examining the period of relevance to the protection of such a right, the Panel had to carefully align this </w:t>
      </w:r>
      <w:r w:rsidR="00CB6BA1" w:rsidRPr="00E90F29">
        <w:rPr>
          <w:rFonts w:ascii="Arial" w:hAnsi="Arial" w:cs="Arial"/>
          <w:sz w:val="22"/>
          <w:szCs w:val="22"/>
        </w:rPr>
        <w:t xml:space="preserve">assessment </w:t>
      </w:r>
      <w:r w:rsidRPr="00E90F29">
        <w:rPr>
          <w:rFonts w:ascii="Arial" w:hAnsi="Arial" w:cs="Arial"/>
          <w:sz w:val="22"/>
          <w:szCs w:val="22"/>
        </w:rPr>
        <w:t>with the limitation</w:t>
      </w:r>
      <w:r w:rsidR="00CB6BA1" w:rsidRPr="00E90F29">
        <w:rPr>
          <w:rFonts w:ascii="Arial" w:hAnsi="Arial" w:cs="Arial"/>
          <w:sz w:val="22"/>
          <w:szCs w:val="22"/>
        </w:rPr>
        <w:t xml:space="preserve"> placed upon its competence</w:t>
      </w:r>
      <w:r w:rsidRPr="00E90F29">
        <w:rPr>
          <w:rFonts w:ascii="Arial" w:hAnsi="Arial" w:cs="Arial"/>
          <w:sz w:val="22"/>
          <w:szCs w:val="22"/>
        </w:rPr>
        <w:t xml:space="preserve">, </w:t>
      </w:r>
      <w:proofErr w:type="spellStart"/>
      <w:r w:rsidRPr="00E90F29">
        <w:rPr>
          <w:rFonts w:ascii="Arial" w:hAnsi="Arial" w:cs="Arial"/>
          <w:i/>
          <w:sz w:val="22"/>
          <w:szCs w:val="22"/>
        </w:rPr>
        <w:t>ratione</w:t>
      </w:r>
      <w:proofErr w:type="spellEnd"/>
      <w:r w:rsidRPr="00E90F29">
        <w:rPr>
          <w:rFonts w:ascii="Arial" w:hAnsi="Arial" w:cs="Arial"/>
          <w:i/>
          <w:sz w:val="22"/>
          <w:szCs w:val="22"/>
        </w:rPr>
        <w:t xml:space="preserve"> </w:t>
      </w:r>
      <w:proofErr w:type="spellStart"/>
      <w:r w:rsidRPr="00E90F29">
        <w:rPr>
          <w:rFonts w:ascii="Arial" w:hAnsi="Arial" w:cs="Arial"/>
          <w:i/>
          <w:sz w:val="22"/>
          <w:szCs w:val="22"/>
        </w:rPr>
        <w:t>temporis</w:t>
      </w:r>
      <w:proofErr w:type="spellEnd"/>
      <w:r w:rsidRPr="00E90F29">
        <w:rPr>
          <w:rFonts w:ascii="Arial" w:hAnsi="Arial" w:cs="Arial"/>
          <w:sz w:val="22"/>
          <w:szCs w:val="22"/>
        </w:rPr>
        <w:t>.</w:t>
      </w:r>
      <w:r w:rsidRPr="00E90F29">
        <w:rPr>
          <w:rStyle w:val="FootnoteReference"/>
          <w:rFonts w:ascii="Arial" w:hAnsi="Arial" w:cs="Arial"/>
          <w:sz w:val="22"/>
          <w:szCs w:val="22"/>
        </w:rPr>
        <w:footnoteReference w:id="35"/>
      </w:r>
    </w:p>
    <w:p w14:paraId="697CD6EA" w14:textId="77777777" w:rsidR="00F3735C" w:rsidRPr="00E90F29" w:rsidRDefault="00F3735C" w:rsidP="00E90F29">
      <w:pPr>
        <w:spacing w:line="360" w:lineRule="auto"/>
        <w:jc w:val="both"/>
        <w:rPr>
          <w:rFonts w:ascii="Arial" w:hAnsi="Arial" w:cs="Arial"/>
          <w:sz w:val="22"/>
          <w:szCs w:val="22"/>
        </w:rPr>
      </w:pPr>
    </w:p>
    <w:p w14:paraId="65352881" w14:textId="0EC1415B" w:rsidR="00883EB0" w:rsidRPr="00E90F29" w:rsidRDefault="00AC5B01" w:rsidP="00E90F29">
      <w:pPr>
        <w:pStyle w:val="Heading3"/>
      </w:pPr>
      <w:bookmarkStart w:id="24" w:name="_Toc513713966"/>
      <w:r w:rsidRPr="00E90F29">
        <w:t xml:space="preserve">3.5.3 </w:t>
      </w:r>
      <w:r w:rsidR="00883EB0" w:rsidRPr="00E90F29">
        <w:t>Execution of judgment</w:t>
      </w:r>
      <w:bookmarkEnd w:id="24"/>
      <w:r w:rsidR="00883EB0" w:rsidRPr="00E90F29">
        <w:t xml:space="preserve"> </w:t>
      </w:r>
    </w:p>
    <w:p w14:paraId="5E419968" w14:textId="58AD93E4" w:rsidR="00F3735C" w:rsidRPr="00E90F29" w:rsidRDefault="00F3735C" w:rsidP="00E90F29">
      <w:pPr>
        <w:spacing w:line="360" w:lineRule="auto"/>
        <w:jc w:val="both"/>
        <w:rPr>
          <w:rFonts w:ascii="Arial" w:hAnsi="Arial" w:cs="Arial"/>
          <w:sz w:val="22"/>
          <w:szCs w:val="22"/>
          <w:lang w:val="en-GB"/>
        </w:rPr>
      </w:pPr>
      <w:r w:rsidRPr="00E90F29">
        <w:rPr>
          <w:rFonts w:ascii="Arial" w:hAnsi="Arial" w:cs="Arial"/>
          <w:sz w:val="22"/>
          <w:szCs w:val="22"/>
          <w:lang w:val="en-GB"/>
        </w:rPr>
        <w:t>The right to a fair trial al</w:t>
      </w:r>
      <w:r w:rsidR="00CB6BA1" w:rsidRPr="00E90F29">
        <w:rPr>
          <w:rFonts w:ascii="Arial" w:hAnsi="Arial" w:cs="Arial"/>
          <w:sz w:val="22"/>
          <w:szCs w:val="22"/>
          <w:lang w:val="en-GB"/>
        </w:rPr>
        <w:t xml:space="preserve">so pertains to and involves a right to the </w:t>
      </w:r>
      <w:r w:rsidRPr="00E90F29">
        <w:rPr>
          <w:rFonts w:ascii="Arial" w:hAnsi="Arial" w:cs="Arial"/>
          <w:sz w:val="22"/>
          <w:szCs w:val="22"/>
          <w:lang w:val="en-GB"/>
        </w:rPr>
        <w:t xml:space="preserve">effective execution and enforcement of </w:t>
      </w:r>
      <w:r w:rsidR="00CB6BA1" w:rsidRPr="00E90F29">
        <w:rPr>
          <w:rFonts w:ascii="Arial" w:hAnsi="Arial" w:cs="Arial"/>
          <w:sz w:val="22"/>
          <w:szCs w:val="22"/>
          <w:lang w:val="en-GB"/>
        </w:rPr>
        <w:t>a judgment in one’s favour</w:t>
      </w:r>
      <w:r w:rsidRPr="00E90F29">
        <w:rPr>
          <w:rFonts w:ascii="Arial" w:hAnsi="Arial" w:cs="Arial"/>
          <w:sz w:val="22"/>
          <w:szCs w:val="22"/>
          <w:lang w:val="en-GB"/>
        </w:rPr>
        <w:t xml:space="preserve">. In </w:t>
      </w:r>
      <w:proofErr w:type="spellStart"/>
      <w:r w:rsidRPr="00E90F29">
        <w:rPr>
          <w:rFonts w:ascii="Arial" w:hAnsi="Arial" w:cs="Arial"/>
          <w:i/>
          <w:sz w:val="22"/>
          <w:szCs w:val="22"/>
          <w:lang w:val="en-GB"/>
        </w:rPr>
        <w:t>Rastelica</w:t>
      </w:r>
      <w:proofErr w:type="spellEnd"/>
      <w:r w:rsidRPr="00E90F29">
        <w:rPr>
          <w:rFonts w:ascii="Arial" w:hAnsi="Arial" w:cs="Arial"/>
          <w:sz w:val="22"/>
          <w:szCs w:val="22"/>
          <w:lang w:val="en-GB"/>
        </w:rPr>
        <w:t xml:space="preserve">, the Panel said the following about the meaning of that guarantee: </w:t>
      </w:r>
    </w:p>
    <w:p w14:paraId="0AD9B950" w14:textId="160F87D8" w:rsidR="00AB0C59" w:rsidRPr="00E90F29" w:rsidRDefault="00F3735C" w:rsidP="00E90F29">
      <w:pPr>
        <w:suppressAutoHyphens/>
        <w:autoSpaceDE w:val="0"/>
        <w:spacing w:line="360" w:lineRule="auto"/>
        <w:ind w:left="567"/>
        <w:jc w:val="both"/>
        <w:rPr>
          <w:rStyle w:val="sb8d990e2"/>
          <w:rFonts w:ascii="Arial" w:hAnsi="Arial" w:cs="Arial"/>
          <w:sz w:val="22"/>
          <w:szCs w:val="22"/>
        </w:rPr>
      </w:pPr>
      <w:r w:rsidRPr="00E90F29">
        <w:rPr>
          <w:rFonts w:ascii="Arial" w:hAnsi="Arial" w:cs="Arial"/>
          <w:sz w:val="22"/>
          <w:szCs w:val="22"/>
          <w:lang w:val="en-GB"/>
        </w:rPr>
        <w:t xml:space="preserve"> </w:t>
      </w:r>
      <w:r w:rsidR="00AB0C59" w:rsidRPr="00E90F29">
        <w:rPr>
          <w:rFonts w:ascii="Arial" w:hAnsi="Arial" w:cs="Arial"/>
          <w:sz w:val="22"/>
          <w:szCs w:val="22"/>
          <w:lang w:val="en-GB"/>
        </w:rPr>
        <w:t xml:space="preserve">“The Panel notes that the complainant’s grievance pertains to the alleged non-enforcement of final decisions rendered by Kosovo courts. It is recalled in this respect that the right to a fair hearing, guaranteed under Article 6 </w:t>
      </w:r>
      <w:r w:rsidR="00AB0C59" w:rsidRPr="00E90F29">
        <w:rPr>
          <w:rStyle w:val="sb8d990e2"/>
          <w:rFonts w:ascii="Arial" w:hAnsi="Arial" w:cs="Arial"/>
          <w:sz w:val="22"/>
          <w:szCs w:val="22"/>
        </w:rPr>
        <w:t xml:space="preserve">§ 1 of the European Convention for the Protection of Human Rights and Fundamental Freedoms secures to everyone the right to have any claim relating to his civil rights and obligations brought before a court or tribunal. In this way it embodies the “right to a court”, of which the right of access, that is the right to institute proceedings before courts in civil matters, constitutes one aspect. However, that right would be illusory if a legal system allowed a final, binding judicial decision to remain inoperative to the detriment of one party. It would be inconceivable that Article 6 § 1 should describe in detail the procedural guarantees afforded to litigants – proceedings that are fair, public and expeditious – without protecting the implementation of judicial decisions. To construe the right to the fair hearing as being concerned exclusively with access to court and the conduct of proceedings would indeed be likely to lead to situations incompatible with the principle of the rule of law. Execution of a judgment given by any court must therefore be regarded as an integral part of the “trial” for the purposes of Article 6 (see </w:t>
      </w:r>
      <w:proofErr w:type="spellStart"/>
      <w:r w:rsidR="00AB0C59" w:rsidRPr="00E90F29">
        <w:rPr>
          <w:rStyle w:val="wordhighlighted"/>
          <w:rFonts w:ascii="Arial" w:hAnsi="Arial" w:cs="Arial"/>
          <w:i/>
          <w:sz w:val="22"/>
          <w:szCs w:val="22"/>
        </w:rPr>
        <w:t>Burdov</w:t>
      </w:r>
      <w:proofErr w:type="spellEnd"/>
      <w:r w:rsidR="00AB0C59" w:rsidRPr="00E90F29">
        <w:rPr>
          <w:rStyle w:val="s6b621b36"/>
          <w:rFonts w:ascii="Arial" w:hAnsi="Arial" w:cs="Arial"/>
          <w:i/>
          <w:sz w:val="22"/>
          <w:szCs w:val="22"/>
        </w:rPr>
        <w:t xml:space="preserve"> v. Russia</w:t>
      </w:r>
      <w:r w:rsidR="00AB0C59" w:rsidRPr="00E90F29">
        <w:rPr>
          <w:rStyle w:val="sb8d990e2"/>
          <w:rFonts w:ascii="Arial" w:hAnsi="Arial" w:cs="Arial"/>
          <w:sz w:val="22"/>
          <w:szCs w:val="22"/>
        </w:rPr>
        <w:t xml:space="preserve">, no. </w:t>
      </w:r>
      <w:hyperlink r:id="rId16" w:anchor="{&quot;appno&quot;:[&quot;59498/00&quot;]}" w:tgtFrame="_blank" w:history="1">
        <w:r w:rsidR="00AB0C59" w:rsidRPr="00E90F29">
          <w:rPr>
            <w:rStyle w:val="Hyperlink"/>
            <w:rFonts w:ascii="Arial" w:hAnsi="Arial" w:cs="Arial"/>
            <w:sz w:val="22"/>
            <w:szCs w:val="22"/>
          </w:rPr>
          <w:t>59498/00</w:t>
        </w:r>
      </w:hyperlink>
      <w:r w:rsidR="00AB0C59" w:rsidRPr="00E90F29">
        <w:rPr>
          <w:rStyle w:val="sb8d990e2"/>
          <w:rFonts w:ascii="Arial" w:hAnsi="Arial" w:cs="Arial"/>
          <w:sz w:val="22"/>
          <w:szCs w:val="22"/>
        </w:rPr>
        <w:t>, § 34, ECHR 2002-III;</w:t>
      </w:r>
      <w:r w:rsidR="00AB0C59" w:rsidRPr="00E90F29">
        <w:rPr>
          <w:rStyle w:val="s6b621b36"/>
          <w:rFonts w:ascii="Arial" w:hAnsi="Arial" w:cs="Arial"/>
          <w:sz w:val="22"/>
          <w:szCs w:val="22"/>
        </w:rPr>
        <w:t xml:space="preserve"> </w:t>
      </w:r>
      <w:r w:rsidR="00AB0C59" w:rsidRPr="00E90F29">
        <w:rPr>
          <w:rStyle w:val="s6b621b36"/>
          <w:rFonts w:ascii="Arial" w:hAnsi="Arial" w:cs="Arial"/>
          <w:i/>
          <w:sz w:val="22"/>
          <w:szCs w:val="22"/>
        </w:rPr>
        <w:t>Hornsby v. Greece</w:t>
      </w:r>
      <w:r w:rsidR="00AB0C59" w:rsidRPr="00E90F29">
        <w:rPr>
          <w:rStyle w:val="sb8d990e2"/>
          <w:rFonts w:ascii="Arial" w:hAnsi="Arial" w:cs="Arial"/>
          <w:sz w:val="22"/>
          <w:szCs w:val="22"/>
        </w:rPr>
        <w:t xml:space="preserve">, 19 March 1997, p. 510, § 40, </w:t>
      </w:r>
      <w:r w:rsidR="00AB0C59" w:rsidRPr="00E90F29">
        <w:rPr>
          <w:rStyle w:val="s6b621b36"/>
          <w:rFonts w:ascii="Arial" w:hAnsi="Arial" w:cs="Arial"/>
          <w:sz w:val="22"/>
          <w:szCs w:val="22"/>
        </w:rPr>
        <w:t>Reports of Judgments and Decisions</w:t>
      </w:r>
      <w:r w:rsidR="00AB0C59" w:rsidRPr="00E90F29">
        <w:rPr>
          <w:rStyle w:val="sb8d990e2"/>
          <w:rFonts w:ascii="Arial" w:hAnsi="Arial" w:cs="Arial"/>
          <w:sz w:val="22"/>
          <w:szCs w:val="22"/>
        </w:rPr>
        <w:t xml:space="preserve"> 1997-II). 81. An unreasonably long delay in the enforcement of a binding judgment may therefore breach the right to a fair hearing. The reasonableness of such a delay is to be assessed having particular regard to the complexity of the enforcement proceedings, the applicant’s own conduct and that of the competent authorities, </w:t>
      </w:r>
      <w:r w:rsidR="00AB0C59" w:rsidRPr="00E90F29">
        <w:rPr>
          <w:rStyle w:val="sb8d990e2"/>
          <w:rFonts w:ascii="Arial" w:hAnsi="Arial" w:cs="Arial"/>
          <w:sz w:val="22"/>
          <w:szCs w:val="22"/>
        </w:rPr>
        <w:lastRenderedPageBreak/>
        <w:t xml:space="preserve">and the amount and nature of the court award (see </w:t>
      </w:r>
      <w:proofErr w:type="spellStart"/>
      <w:r w:rsidR="00AB0C59" w:rsidRPr="00E90F29">
        <w:rPr>
          <w:rStyle w:val="s6b621b36"/>
          <w:rFonts w:ascii="Arial" w:hAnsi="Arial" w:cs="Arial"/>
          <w:i/>
          <w:sz w:val="22"/>
          <w:szCs w:val="22"/>
        </w:rPr>
        <w:t>Raylyan</w:t>
      </w:r>
      <w:proofErr w:type="spellEnd"/>
      <w:r w:rsidR="00AB0C59" w:rsidRPr="00E90F29">
        <w:rPr>
          <w:rStyle w:val="s6b621b36"/>
          <w:rFonts w:ascii="Arial" w:hAnsi="Arial" w:cs="Arial"/>
          <w:i/>
          <w:sz w:val="22"/>
          <w:szCs w:val="22"/>
        </w:rPr>
        <w:t xml:space="preserve"> v. Russia</w:t>
      </w:r>
      <w:r w:rsidR="00AB0C59" w:rsidRPr="00E90F29">
        <w:rPr>
          <w:rStyle w:val="sb8d990e2"/>
          <w:rFonts w:ascii="Arial" w:hAnsi="Arial" w:cs="Arial"/>
          <w:sz w:val="22"/>
          <w:szCs w:val="22"/>
        </w:rPr>
        <w:t xml:space="preserve">, no. </w:t>
      </w:r>
      <w:hyperlink r:id="rId17" w:anchor="{&quot;appno&quot;:[&quot;22000/03&quot;]}" w:tgtFrame="_blank" w:history="1">
        <w:r w:rsidR="00AB0C59" w:rsidRPr="00E90F29">
          <w:rPr>
            <w:rStyle w:val="Hyperlink"/>
            <w:rFonts w:ascii="Arial" w:hAnsi="Arial" w:cs="Arial"/>
            <w:sz w:val="22"/>
            <w:szCs w:val="22"/>
          </w:rPr>
          <w:t>22000/03</w:t>
        </w:r>
      </w:hyperlink>
      <w:r w:rsidR="00AB0C59" w:rsidRPr="00E90F29">
        <w:rPr>
          <w:rStyle w:val="sb8d990e2"/>
          <w:rFonts w:ascii="Arial" w:hAnsi="Arial" w:cs="Arial"/>
          <w:sz w:val="22"/>
          <w:szCs w:val="22"/>
        </w:rPr>
        <w:t>, § 31, 15 February 2007).”</w:t>
      </w:r>
      <w:r w:rsidRPr="00E90F29">
        <w:rPr>
          <w:rStyle w:val="FootnoteReference"/>
          <w:rFonts w:ascii="Arial" w:hAnsi="Arial" w:cs="Arial"/>
          <w:sz w:val="22"/>
          <w:szCs w:val="22"/>
        </w:rPr>
        <w:footnoteReference w:id="36"/>
      </w:r>
    </w:p>
    <w:p w14:paraId="56CF873C" w14:textId="77777777" w:rsidR="00A5110E" w:rsidRPr="00E90F29" w:rsidRDefault="00A5110E" w:rsidP="00E90F29">
      <w:pPr>
        <w:autoSpaceDE w:val="0"/>
        <w:autoSpaceDN w:val="0"/>
        <w:adjustRightInd w:val="0"/>
        <w:spacing w:line="360" w:lineRule="auto"/>
        <w:jc w:val="both"/>
        <w:rPr>
          <w:rFonts w:ascii="Arial" w:hAnsi="Arial" w:cs="Arial"/>
          <w:sz w:val="22"/>
          <w:szCs w:val="22"/>
        </w:rPr>
      </w:pPr>
    </w:p>
    <w:p w14:paraId="30111F09" w14:textId="69949A09" w:rsidR="00883EB0" w:rsidRPr="00E90F29" w:rsidRDefault="00D31187"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w:t>
      </w:r>
      <w:r w:rsidR="00CB6BA1" w:rsidRPr="00E90F29">
        <w:rPr>
          <w:rFonts w:ascii="Arial" w:hAnsi="Arial" w:cs="Arial"/>
          <w:sz w:val="22"/>
          <w:szCs w:val="22"/>
          <w:lang w:val="en-GB"/>
        </w:rPr>
        <w:t>same general</w:t>
      </w:r>
      <w:r w:rsidRPr="00E90F29">
        <w:rPr>
          <w:rFonts w:ascii="Arial" w:hAnsi="Arial" w:cs="Arial"/>
          <w:sz w:val="22"/>
          <w:szCs w:val="22"/>
          <w:lang w:val="en-GB"/>
        </w:rPr>
        <w:t xml:space="preserve"> principle </w:t>
      </w:r>
      <w:r w:rsidR="00CB6BA1" w:rsidRPr="00E90F29">
        <w:rPr>
          <w:rFonts w:ascii="Arial" w:hAnsi="Arial" w:cs="Arial"/>
          <w:sz w:val="22"/>
          <w:szCs w:val="22"/>
          <w:lang w:val="en-GB"/>
        </w:rPr>
        <w:t>would arise</w:t>
      </w:r>
      <w:r w:rsidRPr="00E90F29">
        <w:rPr>
          <w:rFonts w:ascii="Arial" w:hAnsi="Arial" w:cs="Arial"/>
          <w:sz w:val="22"/>
          <w:szCs w:val="22"/>
          <w:lang w:val="en-GB"/>
        </w:rPr>
        <w:t xml:space="preserve"> from the right to have access to court.</w:t>
      </w:r>
      <w:r w:rsidRPr="00E90F29">
        <w:rPr>
          <w:rStyle w:val="FootnoteReference"/>
          <w:rFonts w:ascii="Arial" w:hAnsi="Arial" w:cs="Arial"/>
          <w:sz w:val="22"/>
          <w:szCs w:val="22"/>
          <w:lang w:val="en-GB"/>
        </w:rPr>
        <w:footnoteReference w:id="37"/>
      </w:r>
      <w:r w:rsidRPr="00E90F29">
        <w:rPr>
          <w:rFonts w:ascii="Arial" w:hAnsi="Arial" w:cs="Arial"/>
          <w:sz w:val="22"/>
          <w:szCs w:val="22"/>
          <w:lang w:val="en-GB"/>
        </w:rPr>
        <w:t xml:space="preserve"> The </w:t>
      </w:r>
      <w:r w:rsidR="00CB6BA1" w:rsidRPr="00E90F29">
        <w:rPr>
          <w:rFonts w:ascii="Arial" w:hAnsi="Arial" w:cs="Arial"/>
          <w:sz w:val="22"/>
          <w:szCs w:val="22"/>
          <w:lang w:val="en-GB"/>
        </w:rPr>
        <w:t xml:space="preserve">Panel also made it clear that the </w:t>
      </w:r>
      <w:r w:rsidRPr="00E90F29">
        <w:rPr>
          <w:rFonts w:ascii="Arial" w:hAnsi="Arial" w:cs="Arial"/>
          <w:sz w:val="22"/>
          <w:szCs w:val="22"/>
          <w:lang w:val="en-GB"/>
        </w:rPr>
        <w:t>fact that local courts are encountering difficulties or have limited resources does not provide a valid justification for any sort of delay in the execution/implementation of a judgment or the proceedings remaining ineffective.</w:t>
      </w:r>
      <w:r w:rsidRPr="00E90F29">
        <w:rPr>
          <w:rStyle w:val="FootnoteReference"/>
          <w:rFonts w:ascii="Arial" w:hAnsi="Arial" w:cs="Arial"/>
          <w:sz w:val="22"/>
          <w:szCs w:val="22"/>
          <w:lang w:val="en-GB"/>
        </w:rPr>
        <w:footnoteReference w:id="38"/>
      </w:r>
    </w:p>
    <w:p w14:paraId="2E50A9F9" w14:textId="77777777" w:rsidR="00D31187" w:rsidRPr="00E90F29" w:rsidRDefault="00D31187" w:rsidP="00E90F29">
      <w:pPr>
        <w:spacing w:line="360" w:lineRule="auto"/>
        <w:jc w:val="both"/>
        <w:rPr>
          <w:rFonts w:ascii="Arial" w:hAnsi="Arial" w:cs="Arial"/>
          <w:sz w:val="22"/>
          <w:szCs w:val="22"/>
          <w:lang w:val="en-GB"/>
        </w:rPr>
      </w:pPr>
    </w:p>
    <w:p w14:paraId="1FBB74C9" w14:textId="77777777" w:rsidR="00A5110E" w:rsidRPr="00E90F29" w:rsidRDefault="00AC5B01" w:rsidP="00E90F29">
      <w:pPr>
        <w:pStyle w:val="Heading3"/>
      </w:pPr>
      <w:bookmarkStart w:id="25" w:name="_Toc513713967"/>
      <w:r w:rsidRPr="00E90F29">
        <w:t xml:space="preserve">3.5.4 </w:t>
      </w:r>
      <w:r w:rsidR="00A5110E" w:rsidRPr="00E90F29">
        <w:t>Administrative authorities deciding issues of rights</w:t>
      </w:r>
      <w:bookmarkEnd w:id="25"/>
      <w:r w:rsidR="00A5110E" w:rsidRPr="00E90F29">
        <w:t xml:space="preserve"> </w:t>
      </w:r>
    </w:p>
    <w:p w14:paraId="43FA4F1C" w14:textId="77777777" w:rsidR="000373E1" w:rsidRPr="00E90F29" w:rsidRDefault="00210375" w:rsidP="00E90F29">
      <w:pPr>
        <w:spacing w:line="360" w:lineRule="auto"/>
        <w:jc w:val="both"/>
        <w:rPr>
          <w:rFonts w:ascii="Arial" w:hAnsi="Arial" w:cs="Arial"/>
          <w:sz w:val="22"/>
          <w:szCs w:val="22"/>
        </w:rPr>
      </w:pPr>
      <w:r w:rsidRPr="00E90F29">
        <w:rPr>
          <w:rFonts w:ascii="Arial" w:hAnsi="Arial" w:cs="Arial"/>
          <w:sz w:val="22"/>
          <w:szCs w:val="22"/>
          <w:lang w:val="en-GB"/>
        </w:rPr>
        <w:t xml:space="preserve">In line with the ECHR, the Panel has made it clear that </w:t>
      </w:r>
      <w:r w:rsidRPr="00E90F29">
        <w:rPr>
          <w:rFonts w:ascii="Arial" w:hAnsi="Arial" w:cs="Arial"/>
          <w:sz w:val="22"/>
          <w:szCs w:val="22"/>
        </w:rPr>
        <w:t>is not incompatible with Article 6(1) of the Convention to confer the power to adjudicate on civil rights and obligations on administrative authorities, provided that their decisions are subject to subsequent control by a “tribunal” that has full jurisdiction.</w:t>
      </w:r>
      <w:r w:rsidRPr="00E90F29">
        <w:rPr>
          <w:rStyle w:val="FootnoteReference"/>
          <w:rFonts w:ascii="Arial" w:hAnsi="Arial" w:cs="Arial"/>
          <w:sz w:val="22"/>
          <w:szCs w:val="22"/>
        </w:rPr>
        <w:footnoteReference w:id="39"/>
      </w:r>
      <w:r w:rsidRPr="00E90F29">
        <w:rPr>
          <w:rFonts w:ascii="Arial" w:hAnsi="Arial" w:cs="Arial"/>
          <w:sz w:val="22"/>
          <w:szCs w:val="22"/>
          <w:lang w:val="en-GB"/>
        </w:rPr>
        <w:t xml:space="preserve"> </w:t>
      </w:r>
      <w:r w:rsidR="00A5110E" w:rsidRPr="00E90F29">
        <w:rPr>
          <w:rFonts w:ascii="Arial" w:hAnsi="Arial" w:cs="Arial"/>
          <w:sz w:val="22"/>
          <w:szCs w:val="22"/>
        </w:rPr>
        <w:t>Nor is it obligatory for the bodies employing persons enjoying the status of civil servants to ensure, in internal proceedings relating to matters concerning employment, career and dismissal,</w:t>
      </w:r>
      <w:r w:rsidR="000373E1" w:rsidRPr="00E90F29">
        <w:rPr>
          <w:rFonts w:ascii="Arial" w:hAnsi="Arial" w:cs="Arial"/>
          <w:sz w:val="22"/>
          <w:szCs w:val="22"/>
        </w:rPr>
        <w:t xml:space="preserve"> the</w:t>
      </w:r>
      <w:r w:rsidR="00A5110E" w:rsidRPr="00E90F29">
        <w:rPr>
          <w:rFonts w:ascii="Arial" w:hAnsi="Arial" w:cs="Arial"/>
          <w:sz w:val="22"/>
          <w:szCs w:val="22"/>
        </w:rPr>
        <w:t xml:space="preserve"> full procedural guarantees of that provision, provided that an appeal against their decision </w:t>
      </w:r>
      <w:r w:rsidR="000373E1" w:rsidRPr="00E90F29">
        <w:rPr>
          <w:rFonts w:ascii="Arial" w:hAnsi="Arial" w:cs="Arial"/>
          <w:sz w:val="22"/>
          <w:szCs w:val="22"/>
        </w:rPr>
        <w:t xml:space="preserve">before a tribunal fulfilling these requirements </w:t>
      </w:r>
      <w:r w:rsidR="00A5110E" w:rsidRPr="00E90F29">
        <w:rPr>
          <w:rFonts w:ascii="Arial" w:hAnsi="Arial" w:cs="Arial"/>
          <w:sz w:val="22"/>
          <w:szCs w:val="22"/>
        </w:rPr>
        <w:t>is subsequently available.</w:t>
      </w:r>
      <w:r w:rsidRPr="00E90F29">
        <w:rPr>
          <w:rStyle w:val="FootnoteReference"/>
          <w:rFonts w:ascii="Arial" w:hAnsi="Arial" w:cs="Arial"/>
          <w:sz w:val="22"/>
          <w:szCs w:val="22"/>
        </w:rPr>
        <w:footnoteReference w:id="40"/>
      </w:r>
      <w:r w:rsidR="00A5110E" w:rsidRPr="00E90F29">
        <w:rPr>
          <w:rFonts w:ascii="Arial" w:hAnsi="Arial" w:cs="Arial"/>
          <w:sz w:val="22"/>
          <w:szCs w:val="22"/>
        </w:rPr>
        <w:t xml:space="preserve"> </w:t>
      </w:r>
    </w:p>
    <w:p w14:paraId="17264DA4" w14:textId="77777777" w:rsidR="000373E1" w:rsidRPr="00E90F29" w:rsidRDefault="000373E1" w:rsidP="00E90F29">
      <w:pPr>
        <w:spacing w:line="360" w:lineRule="auto"/>
        <w:jc w:val="both"/>
        <w:rPr>
          <w:rFonts w:ascii="Arial" w:hAnsi="Arial" w:cs="Arial"/>
          <w:sz w:val="22"/>
          <w:szCs w:val="22"/>
        </w:rPr>
      </w:pPr>
    </w:p>
    <w:p w14:paraId="442416F4" w14:textId="74B9CE25" w:rsidR="00210375" w:rsidRPr="00E90F29" w:rsidRDefault="000373E1" w:rsidP="00E90F29">
      <w:pPr>
        <w:spacing w:line="360" w:lineRule="auto"/>
        <w:jc w:val="both"/>
        <w:rPr>
          <w:rFonts w:ascii="Arial" w:hAnsi="Arial" w:cs="Arial"/>
          <w:sz w:val="22"/>
          <w:szCs w:val="22"/>
          <w:lang w:val="en-GB"/>
        </w:rPr>
      </w:pPr>
      <w:r w:rsidRPr="00E90F29">
        <w:rPr>
          <w:rFonts w:ascii="Arial" w:hAnsi="Arial" w:cs="Arial"/>
          <w:sz w:val="22"/>
          <w:szCs w:val="22"/>
        </w:rPr>
        <w:lastRenderedPageBreak/>
        <w:t>Furthermore</w:t>
      </w:r>
      <w:r w:rsidR="00210375" w:rsidRPr="00E90F29">
        <w:rPr>
          <w:rFonts w:ascii="Arial" w:hAnsi="Arial" w:cs="Arial"/>
          <w:sz w:val="22"/>
          <w:szCs w:val="22"/>
        </w:rPr>
        <w:t xml:space="preserve">, the Panel added, </w:t>
      </w:r>
      <w:r w:rsidR="00A5110E" w:rsidRPr="00E90F29">
        <w:rPr>
          <w:rFonts w:ascii="Arial" w:hAnsi="Arial" w:cs="Arial"/>
          <w:sz w:val="22"/>
          <w:szCs w:val="22"/>
        </w:rPr>
        <w:t>the issue of fairness of judicial proceedings in carrying out a review of administrative decisions has to be examined not in the abstract, but on a case-by-case basis once the proceedings were terminated.</w:t>
      </w:r>
      <w:r w:rsidR="00210375" w:rsidRPr="00E90F29">
        <w:rPr>
          <w:rStyle w:val="FootnoteReference"/>
          <w:rFonts w:ascii="Arial" w:hAnsi="Arial" w:cs="Arial"/>
          <w:sz w:val="22"/>
          <w:szCs w:val="22"/>
        </w:rPr>
        <w:footnoteReference w:id="41"/>
      </w:r>
      <w:r w:rsidR="00A5110E" w:rsidRPr="00E90F29">
        <w:rPr>
          <w:rFonts w:ascii="Arial" w:hAnsi="Arial" w:cs="Arial"/>
          <w:sz w:val="22"/>
          <w:szCs w:val="22"/>
        </w:rPr>
        <w:t xml:space="preserve"> </w:t>
      </w:r>
    </w:p>
    <w:p w14:paraId="3735FEB2" w14:textId="39EBF7A8" w:rsidR="00883EB0" w:rsidRPr="00E90F29" w:rsidRDefault="00883EB0" w:rsidP="00E90F29">
      <w:pPr>
        <w:spacing w:line="360" w:lineRule="auto"/>
        <w:jc w:val="both"/>
        <w:rPr>
          <w:rFonts w:ascii="Arial" w:hAnsi="Arial" w:cs="Arial"/>
          <w:b/>
          <w:sz w:val="22"/>
          <w:szCs w:val="22"/>
          <w:lang w:val="en-GB"/>
        </w:rPr>
      </w:pPr>
    </w:p>
    <w:p w14:paraId="6A82CE6C" w14:textId="0822BEAB" w:rsidR="00883EB0" w:rsidRPr="00E90F29" w:rsidRDefault="00A5110E" w:rsidP="00E90F29">
      <w:pPr>
        <w:pStyle w:val="Heading3"/>
      </w:pPr>
      <w:bookmarkStart w:id="26" w:name="_Toc513713968"/>
      <w:r w:rsidRPr="00E90F29">
        <w:t>3.5.5 No personal right to prosecution guaranteed</w:t>
      </w:r>
      <w:bookmarkEnd w:id="26"/>
    </w:p>
    <w:p w14:paraId="37F95CBF" w14:textId="2C88B822" w:rsidR="00A5110E" w:rsidRPr="00E90F29" w:rsidRDefault="00210375" w:rsidP="00E90F29">
      <w:pPr>
        <w:spacing w:line="360" w:lineRule="auto"/>
        <w:jc w:val="both"/>
        <w:rPr>
          <w:rFonts w:ascii="Arial" w:hAnsi="Arial" w:cs="Arial"/>
          <w:sz w:val="22"/>
          <w:szCs w:val="22"/>
          <w:lang w:val="en-GB"/>
        </w:rPr>
      </w:pPr>
      <w:r w:rsidRPr="00E90F29">
        <w:rPr>
          <w:rFonts w:ascii="Arial" w:hAnsi="Arial" w:cs="Arial"/>
          <w:sz w:val="22"/>
          <w:szCs w:val="22"/>
          <w:lang w:val="en-GB"/>
        </w:rPr>
        <w:t>The Panel also had occasion to make clear that the right to a fair trial does not endow individuals with a private right to prosecution:</w:t>
      </w:r>
      <w:r w:rsidRPr="00E90F29">
        <w:rPr>
          <w:rStyle w:val="FootnoteReference"/>
          <w:rFonts w:ascii="Arial" w:hAnsi="Arial" w:cs="Arial"/>
          <w:sz w:val="22"/>
          <w:szCs w:val="22"/>
          <w:lang w:val="en-GB"/>
        </w:rPr>
        <w:footnoteReference w:id="42"/>
      </w:r>
      <w:r w:rsidRPr="00E90F29">
        <w:rPr>
          <w:rFonts w:ascii="Arial" w:hAnsi="Arial" w:cs="Arial"/>
          <w:sz w:val="22"/>
          <w:szCs w:val="22"/>
          <w:lang w:val="en-GB"/>
        </w:rPr>
        <w:t xml:space="preserve"> </w:t>
      </w:r>
    </w:p>
    <w:p w14:paraId="31D8B927" w14:textId="77777777" w:rsidR="0000023B" w:rsidRPr="00E90F29" w:rsidRDefault="0000023B" w:rsidP="00E90F29">
      <w:pPr>
        <w:spacing w:line="360" w:lineRule="auto"/>
        <w:jc w:val="both"/>
        <w:rPr>
          <w:rFonts w:ascii="Arial" w:hAnsi="Arial" w:cs="Arial"/>
          <w:sz w:val="22"/>
          <w:szCs w:val="22"/>
          <w:lang w:val="en-GB"/>
        </w:rPr>
      </w:pPr>
    </w:p>
    <w:p w14:paraId="1BE056DE" w14:textId="0145F70E" w:rsidR="00883EB0" w:rsidRPr="00E90F29" w:rsidRDefault="00A5110E" w:rsidP="00E90F29">
      <w:pPr>
        <w:pStyle w:val="Heading3"/>
      </w:pPr>
      <w:bookmarkStart w:id="27" w:name="_Toc513713969"/>
      <w:r w:rsidRPr="00E90F29">
        <w:t>3.5.6 Right to access to court</w:t>
      </w:r>
      <w:bookmarkEnd w:id="27"/>
      <w:r w:rsidRPr="00E90F29">
        <w:t xml:space="preserve"> </w:t>
      </w:r>
    </w:p>
    <w:p w14:paraId="4D3890C2" w14:textId="3C17BEBD" w:rsidR="00210375" w:rsidRPr="00E90F29" w:rsidRDefault="00210375" w:rsidP="00E90F29">
      <w:pPr>
        <w:spacing w:line="360" w:lineRule="auto"/>
        <w:jc w:val="both"/>
        <w:rPr>
          <w:rFonts w:ascii="Arial" w:hAnsi="Arial" w:cs="Arial"/>
          <w:sz w:val="22"/>
          <w:szCs w:val="22"/>
          <w:lang w:val="en-GB"/>
        </w:rPr>
      </w:pPr>
      <w:r w:rsidRPr="00E90F29">
        <w:rPr>
          <w:rFonts w:ascii="Arial" w:hAnsi="Arial" w:cs="Arial"/>
          <w:sz w:val="22"/>
          <w:szCs w:val="22"/>
          <w:lang w:val="en-GB"/>
        </w:rPr>
        <w:t>The right to a fair trial also protects an individual’s right to have access t</w:t>
      </w:r>
      <w:r w:rsidR="000373E1" w:rsidRPr="00E90F29">
        <w:rPr>
          <w:rFonts w:ascii="Arial" w:hAnsi="Arial" w:cs="Arial"/>
          <w:sz w:val="22"/>
          <w:szCs w:val="22"/>
          <w:lang w:val="en-GB"/>
        </w:rPr>
        <w:t>o court</w:t>
      </w:r>
      <w:r w:rsidRPr="00E90F29">
        <w:rPr>
          <w:rFonts w:ascii="Arial" w:hAnsi="Arial" w:cs="Arial"/>
          <w:sz w:val="22"/>
          <w:szCs w:val="22"/>
          <w:lang w:val="en-GB"/>
        </w:rPr>
        <w:t xml:space="preserve"> in order to have his claim addressed by competent judicial authorities.</w:t>
      </w:r>
      <w:r w:rsidR="0065583C" w:rsidRPr="00E90F29">
        <w:rPr>
          <w:rStyle w:val="FootnoteReference"/>
          <w:rFonts w:ascii="Arial" w:hAnsi="Arial" w:cs="Arial"/>
          <w:sz w:val="22"/>
          <w:szCs w:val="22"/>
          <w:lang w:val="en-GB"/>
        </w:rPr>
        <w:footnoteReference w:id="43"/>
      </w:r>
      <w:r w:rsidRPr="00E90F29">
        <w:rPr>
          <w:rFonts w:ascii="Arial" w:hAnsi="Arial" w:cs="Arial"/>
          <w:sz w:val="22"/>
          <w:szCs w:val="22"/>
          <w:lang w:val="en-GB"/>
        </w:rPr>
        <w:t xml:space="preserve"> This</w:t>
      </w:r>
      <w:r w:rsidR="000373E1" w:rsidRPr="00E90F29">
        <w:rPr>
          <w:rFonts w:ascii="Arial" w:hAnsi="Arial" w:cs="Arial"/>
          <w:sz w:val="22"/>
          <w:szCs w:val="22"/>
          <w:lang w:val="en-GB"/>
        </w:rPr>
        <w:t xml:space="preserve"> right</w:t>
      </w:r>
      <w:r w:rsidRPr="00E90F29">
        <w:rPr>
          <w:rFonts w:ascii="Arial" w:hAnsi="Arial" w:cs="Arial"/>
          <w:sz w:val="22"/>
          <w:szCs w:val="22"/>
          <w:lang w:val="en-GB"/>
        </w:rPr>
        <w:t xml:space="preserve">, </w:t>
      </w:r>
      <w:r w:rsidR="000373E1" w:rsidRPr="00E90F29">
        <w:rPr>
          <w:rFonts w:ascii="Arial" w:hAnsi="Arial" w:cs="Arial"/>
          <w:sz w:val="22"/>
          <w:szCs w:val="22"/>
          <w:lang w:val="en-GB"/>
        </w:rPr>
        <w:t>the Panel made clear</w:t>
      </w:r>
      <w:r w:rsidRPr="00E90F29">
        <w:rPr>
          <w:rFonts w:ascii="Arial" w:hAnsi="Arial" w:cs="Arial"/>
          <w:sz w:val="22"/>
          <w:szCs w:val="22"/>
          <w:lang w:val="en-GB"/>
        </w:rPr>
        <w:t>, does not provide the individual in question with the right to succeed in his or her claim, but only to have it considered by the competent authorities in accordance with the law.</w:t>
      </w:r>
      <w:r w:rsidR="0065583C" w:rsidRPr="00E90F29">
        <w:rPr>
          <w:rStyle w:val="FootnoteReference"/>
          <w:rFonts w:ascii="Arial" w:hAnsi="Arial" w:cs="Arial"/>
          <w:sz w:val="22"/>
          <w:szCs w:val="22"/>
          <w:lang w:val="en-GB"/>
        </w:rPr>
        <w:footnoteReference w:id="44"/>
      </w:r>
      <w:r w:rsidRPr="00E90F29">
        <w:rPr>
          <w:rFonts w:ascii="Arial" w:hAnsi="Arial" w:cs="Arial"/>
          <w:sz w:val="22"/>
          <w:szCs w:val="22"/>
          <w:lang w:val="en-GB"/>
        </w:rPr>
        <w:t xml:space="preserve"> </w:t>
      </w:r>
    </w:p>
    <w:p w14:paraId="4A906160" w14:textId="77777777" w:rsidR="00210375" w:rsidRPr="00E90F29" w:rsidRDefault="00210375" w:rsidP="00E90F29">
      <w:pPr>
        <w:spacing w:line="360" w:lineRule="auto"/>
        <w:jc w:val="both"/>
        <w:rPr>
          <w:rFonts w:ascii="Arial" w:hAnsi="Arial" w:cs="Arial"/>
          <w:sz w:val="22"/>
          <w:szCs w:val="22"/>
          <w:lang w:val="en-GB"/>
        </w:rPr>
      </w:pPr>
    </w:p>
    <w:p w14:paraId="7A2FEB50" w14:textId="0A71972F" w:rsidR="0065583C" w:rsidRPr="00E90F29" w:rsidRDefault="00210375" w:rsidP="00E90F29">
      <w:pPr>
        <w:spacing w:line="360" w:lineRule="auto"/>
        <w:jc w:val="both"/>
        <w:rPr>
          <w:rFonts w:ascii="Arial" w:hAnsi="Arial" w:cs="Arial"/>
          <w:sz w:val="22"/>
          <w:szCs w:val="22"/>
        </w:rPr>
      </w:pPr>
      <w:r w:rsidRPr="00E90F29">
        <w:rPr>
          <w:rFonts w:ascii="Arial" w:hAnsi="Arial" w:cs="Arial"/>
          <w:sz w:val="22"/>
          <w:szCs w:val="22"/>
          <w:lang w:val="en-GB"/>
        </w:rPr>
        <w:t xml:space="preserve">The Panel </w:t>
      </w:r>
      <w:r w:rsidR="0065583C" w:rsidRPr="00E90F29">
        <w:rPr>
          <w:rFonts w:ascii="Arial" w:hAnsi="Arial" w:cs="Arial"/>
          <w:sz w:val="22"/>
          <w:szCs w:val="22"/>
          <w:lang w:val="en-GB"/>
        </w:rPr>
        <w:t xml:space="preserve">also noted that </w:t>
      </w:r>
      <w:r w:rsidR="0065583C" w:rsidRPr="00E90F29">
        <w:rPr>
          <w:rFonts w:ascii="Arial" w:hAnsi="Arial" w:cs="Arial"/>
          <w:sz w:val="22"/>
          <w:szCs w:val="22"/>
        </w:rPr>
        <w:t>a</w:t>
      </w:r>
      <w:r w:rsidR="00A5110E" w:rsidRPr="00E90F29">
        <w:rPr>
          <w:rFonts w:ascii="Arial" w:hAnsi="Arial" w:cs="Arial"/>
          <w:sz w:val="22"/>
          <w:szCs w:val="22"/>
        </w:rPr>
        <w:t xml:space="preserve">n individual may not benefit from the further guarantees laid down in paragraph 1 of Article 6, namely fair, public and expeditious judicial </w:t>
      </w:r>
      <w:r w:rsidR="00A5110E" w:rsidRPr="00E90F29">
        <w:rPr>
          <w:rFonts w:ascii="Arial" w:hAnsi="Arial" w:cs="Arial"/>
          <w:sz w:val="22"/>
          <w:szCs w:val="22"/>
        </w:rPr>
        <w:lastRenderedPageBreak/>
        <w:t>proceedings if such proceedings are not first initiated.</w:t>
      </w:r>
      <w:r w:rsidR="0065583C" w:rsidRPr="00E90F29">
        <w:rPr>
          <w:rStyle w:val="FootnoteReference"/>
          <w:rFonts w:ascii="Arial" w:hAnsi="Arial" w:cs="Arial"/>
          <w:sz w:val="22"/>
          <w:szCs w:val="22"/>
        </w:rPr>
        <w:footnoteReference w:id="45"/>
      </w:r>
      <w:r w:rsidR="00A5110E" w:rsidRPr="00E90F29">
        <w:rPr>
          <w:rFonts w:ascii="Arial" w:hAnsi="Arial" w:cs="Arial"/>
          <w:sz w:val="22"/>
          <w:szCs w:val="22"/>
        </w:rPr>
        <w:t xml:space="preserve"> </w:t>
      </w:r>
      <w:r w:rsidR="000373E1" w:rsidRPr="00E90F29">
        <w:rPr>
          <w:rFonts w:ascii="Arial" w:hAnsi="Arial" w:cs="Arial"/>
          <w:sz w:val="22"/>
          <w:szCs w:val="22"/>
        </w:rPr>
        <w:t>Similarly,</w:t>
      </w:r>
      <w:r w:rsidR="00A5110E" w:rsidRPr="00E90F29">
        <w:rPr>
          <w:rFonts w:ascii="Arial" w:hAnsi="Arial" w:cs="Arial"/>
          <w:sz w:val="22"/>
          <w:szCs w:val="22"/>
        </w:rPr>
        <w:t xml:space="preserve"> in civil matters</w:t>
      </w:r>
      <w:r w:rsidR="000373E1" w:rsidRPr="00E90F29">
        <w:rPr>
          <w:rFonts w:ascii="Arial" w:hAnsi="Arial" w:cs="Arial"/>
          <w:sz w:val="22"/>
          <w:szCs w:val="22"/>
        </w:rPr>
        <w:t>,</w:t>
      </w:r>
      <w:r w:rsidR="00A5110E" w:rsidRPr="00E90F29">
        <w:rPr>
          <w:rFonts w:ascii="Arial" w:hAnsi="Arial" w:cs="Arial"/>
          <w:sz w:val="22"/>
          <w:szCs w:val="22"/>
        </w:rPr>
        <w:t xml:space="preserve"> one can scarcely conceive of the rule of law without there being a possibility of having access to the courts.</w:t>
      </w:r>
      <w:r w:rsidR="0065583C" w:rsidRPr="00E90F29">
        <w:rPr>
          <w:rStyle w:val="FootnoteReference"/>
          <w:rFonts w:ascii="Arial" w:hAnsi="Arial" w:cs="Arial"/>
          <w:sz w:val="22"/>
          <w:szCs w:val="22"/>
        </w:rPr>
        <w:footnoteReference w:id="46"/>
      </w:r>
      <w:r w:rsidR="00A5110E" w:rsidRPr="00E90F29">
        <w:rPr>
          <w:rFonts w:ascii="Arial" w:hAnsi="Arial" w:cs="Arial"/>
          <w:sz w:val="22"/>
          <w:szCs w:val="22"/>
        </w:rPr>
        <w:t xml:space="preserve"> </w:t>
      </w:r>
    </w:p>
    <w:p w14:paraId="4F83BB1B" w14:textId="77777777" w:rsidR="0065583C" w:rsidRPr="00E90F29" w:rsidRDefault="0065583C" w:rsidP="00E90F29">
      <w:pPr>
        <w:spacing w:line="360" w:lineRule="auto"/>
        <w:jc w:val="both"/>
        <w:rPr>
          <w:rFonts w:ascii="Arial" w:hAnsi="Arial" w:cs="Arial"/>
          <w:sz w:val="22"/>
          <w:szCs w:val="22"/>
        </w:rPr>
      </w:pPr>
    </w:p>
    <w:p w14:paraId="41B82457" w14:textId="79EE86B7" w:rsidR="00D9685F" w:rsidRPr="00E90F29" w:rsidRDefault="00A5110E" w:rsidP="00E90F29">
      <w:pPr>
        <w:spacing w:line="360" w:lineRule="auto"/>
        <w:jc w:val="both"/>
        <w:rPr>
          <w:rFonts w:ascii="Arial" w:hAnsi="Arial" w:cs="Arial"/>
          <w:sz w:val="22"/>
          <w:szCs w:val="22"/>
        </w:rPr>
      </w:pPr>
      <w:r w:rsidRPr="00E90F29">
        <w:rPr>
          <w:rFonts w:ascii="Arial" w:hAnsi="Arial" w:cs="Arial"/>
          <w:sz w:val="22"/>
          <w:szCs w:val="22"/>
        </w:rPr>
        <w:t>Although the right of access to court may be subject to limitations in the form of regulation by law, they must pursue a legitimate aim and there must be a reasonable relationship of proportionality between them and</w:t>
      </w:r>
      <w:r w:rsidR="0065583C" w:rsidRPr="00E90F29">
        <w:rPr>
          <w:rFonts w:ascii="Arial" w:hAnsi="Arial" w:cs="Arial"/>
          <w:sz w:val="22"/>
          <w:szCs w:val="22"/>
        </w:rPr>
        <w:t xml:space="preserve"> the aim sought to be achieved.</w:t>
      </w:r>
      <w:r w:rsidR="0065583C" w:rsidRPr="00E90F29">
        <w:rPr>
          <w:rStyle w:val="FootnoteReference"/>
          <w:rFonts w:ascii="Arial" w:hAnsi="Arial" w:cs="Arial"/>
          <w:sz w:val="22"/>
          <w:szCs w:val="22"/>
        </w:rPr>
        <w:footnoteReference w:id="47"/>
      </w:r>
      <w:r w:rsidR="0065583C" w:rsidRPr="00E90F29">
        <w:rPr>
          <w:rFonts w:ascii="Arial" w:hAnsi="Arial" w:cs="Arial"/>
          <w:sz w:val="22"/>
          <w:szCs w:val="22"/>
        </w:rPr>
        <w:t xml:space="preserve"> </w:t>
      </w:r>
      <w:r w:rsidR="00D9685F" w:rsidRPr="00E90F29">
        <w:rPr>
          <w:rFonts w:ascii="Arial" w:hAnsi="Arial" w:cs="Arial"/>
          <w:sz w:val="22"/>
          <w:szCs w:val="22"/>
        </w:rPr>
        <w:t>And in no case can the limitations applied restrict or reduce the access afforded to the applicant in such a way or to such an extent that the very essence of that right was impaired.</w:t>
      </w:r>
      <w:r w:rsidR="00D9685F" w:rsidRPr="00E90F29">
        <w:rPr>
          <w:rStyle w:val="FootnoteReference"/>
          <w:rFonts w:ascii="Arial" w:hAnsi="Arial" w:cs="Arial"/>
          <w:sz w:val="22"/>
          <w:szCs w:val="22"/>
        </w:rPr>
        <w:footnoteReference w:id="48"/>
      </w:r>
    </w:p>
    <w:p w14:paraId="3477F553" w14:textId="77777777" w:rsidR="0065583C" w:rsidRPr="00E90F29" w:rsidRDefault="0065583C" w:rsidP="00E90F29">
      <w:pPr>
        <w:spacing w:line="360" w:lineRule="auto"/>
        <w:jc w:val="both"/>
        <w:rPr>
          <w:rFonts w:ascii="Arial" w:hAnsi="Arial" w:cs="Arial"/>
          <w:sz w:val="22"/>
          <w:szCs w:val="22"/>
        </w:rPr>
      </w:pPr>
    </w:p>
    <w:p w14:paraId="64543715" w14:textId="189B5BE1" w:rsidR="00262FBC" w:rsidRPr="00E90F29" w:rsidRDefault="00A5110E" w:rsidP="00E90F29">
      <w:pPr>
        <w:spacing w:line="360" w:lineRule="auto"/>
        <w:jc w:val="both"/>
        <w:rPr>
          <w:rFonts w:ascii="Arial" w:hAnsi="Arial" w:cs="Arial"/>
          <w:sz w:val="22"/>
          <w:szCs w:val="22"/>
        </w:rPr>
      </w:pPr>
      <w:r w:rsidRPr="00E90F29">
        <w:rPr>
          <w:rFonts w:ascii="Arial" w:hAnsi="Arial" w:cs="Arial"/>
          <w:sz w:val="22"/>
          <w:szCs w:val="22"/>
        </w:rPr>
        <w:t xml:space="preserve">The </w:t>
      </w:r>
      <w:r w:rsidR="000373E1" w:rsidRPr="00E90F29">
        <w:rPr>
          <w:rFonts w:ascii="Arial" w:hAnsi="Arial" w:cs="Arial"/>
          <w:sz w:val="22"/>
          <w:szCs w:val="22"/>
        </w:rPr>
        <w:t xml:space="preserve">Panel also made clear that a </w:t>
      </w:r>
      <w:r w:rsidRPr="00E90F29">
        <w:rPr>
          <w:rFonts w:ascii="Arial" w:hAnsi="Arial" w:cs="Arial"/>
          <w:sz w:val="22"/>
          <w:szCs w:val="22"/>
        </w:rPr>
        <w:t xml:space="preserve">requirement to pay fees to civil courts cannot be regarded as a restriction on the right of access to a court that is incompatible, </w:t>
      </w:r>
      <w:r w:rsidRPr="00E90F29">
        <w:rPr>
          <w:rFonts w:ascii="Arial" w:hAnsi="Arial" w:cs="Arial"/>
          <w:i/>
          <w:sz w:val="22"/>
          <w:szCs w:val="22"/>
        </w:rPr>
        <w:t>per se</w:t>
      </w:r>
      <w:r w:rsidRPr="00E90F29">
        <w:rPr>
          <w:rFonts w:ascii="Arial" w:hAnsi="Arial" w:cs="Arial"/>
          <w:sz w:val="22"/>
          <w:szCs w:val="22"/>
        </w:rPr>
        <w:t>, with A</w:t>
      </w:r>
      <w:r w:rsidR="000373E1" w:rsidRPr="00E90F29">
        <w:rPr>
          <w:rFonts w:ascii="Arial" w:hAnsi="Arial" w:cs="Arial"/>
          <w:sz w:val="22"/>
          <w:szCs w:val="22"/>
        </w:rPr>
        <w:t>rticle 6(</w:t>
      </w:r>
      <w:r w:rsidR="0065583C" w:rsidRPr="00E90F29">
        <w:rPr>
          <w:rFonts w:ascii="Arial" w:hAnsi="Arial" w:cs="Arial"/>
          <w:sz w:val="22"/>
          <w:szCs w:val="22"/>
        </w:rPr>
        <w:t>1</w:t>
      </w:r>
      <w:r w:rsidR="000373E1" w:rsidRPr="00E90F29">
        <w:rPr>
          <w:rFonts w:ascii="Arial" w:hAnsi="Arial" w:cs="Arial"/>
          <w:sz w:val="22"/>
          <w:szCs w:val="22"/>
        </w:rPr>
        <w:t>)</w:t>
      </w:r>
      <w:r w:rsidR="0065583C" w:rsidRPr="00E90F29">
        <w:rPr>
          <w:rFonts w:ascii="Arial" w:hAnsi="Arial" w:cs="Arial"/>
          <w:sz w:val="22"/>
          <w:szCs w:val="22"/>
        </w:rPr>
        <w:t xml:space="preserve"> of the Convention</w:t>
      </w:r>
      <w:r w:rsidRPr="00E90F29">
        <w:rPr>
          <w:rFonts w:ascii="Arial" w:hAnsi="Arial" w:cs="Arial"/>
          <w:sz w:val="22"/>
          <w:szCs w:val="22"/>
        </w:rPr>
        <w:t>.</w:t>
      </w:r>
      <w:r w:rsidR="0065583C" w:rsidRPr="00E90F29">
        <w:rPr>
          <w:rStyle w:val="FootnoteReference"/>
          <w:rFonts w:ascii="Arial" w:hAnsi="Arial" w:cs="Arial"/>
          <w:sz w:val="22"/>
          <w:szCs w:val="22"/>
        </w:rPr>
        <w:footnoteReference w:id="49"/>
      </w:r>
      <w:r w:rsidRPr="00E90F29">
        <w:rPr>
          <w:rFonts w:ascii="Arial" w:hAnsi="Arial" w:cs="Arial"/>
          <w:sz w:val="22"/>
          <w:szCs w:val="22"/>
        </w:rPr>
        <w:t xml:space="preserve"> </w:t>
      </w:r>
      <w:r w:rsidR="000373E1" w:rsidRPr="00E90F29">
        <w:rPr>
          <w:rFonts w:ascii="Arial" w:hAnsi="Arial" w:cs="Arial"/>
          <w:sz w:val="22"/>
          <w:szCs w:val="22"/>
        </w:rPr>
        <w:t>Such a determination</w:t>
      </w:r>
      <w:r w:rsidRPr="00E90F29">
        <w:rPr>
          <w:rFonts w:ascii="Arial" w:hAnsi="Arial" w:cs="Arial"/>
          <w:sz w:val="22"/>
          <w:szCs w:val="22"/>
        </w:rPr>
        <w:t xml:space="preserve"> largely depends on the amount of the fees assessed in light of the particular circumstances of a given case, including the applicant’s ability to pay them, and the phase of the proceedings at which that restriction has been imposed that are material in determining whether or not a person has enjoyed his/her right of access</w:t>
      </w:r>
      <w:r w:rsidR="0065583C" w:rsidRPr="00E90F29">
        <w:rPr>
          <w:rFonts w:ascii="Arial" w:hAnsi="Arial" w:cs="Arial"/>
          <w:sz w:val="22"/>
          <w:szCs w:val="22"/>
        </w:rPr>
        <w:t>.</w:t>
      </w:r>
      <w:r w:rsidR="0065583C" w:rsidRPr="00E90F29">
        <w:rPr>
          <w:rStyle w:val="FootnoteReference"/>
          <w:rFonts w:ascii="Arial" w:hAnsi="Arial" w:cs="Arial"/>
          <w:sz w:val="22"/>
          <w:szCs w:val="22"/>
        </w:rPr>
        <w:footnoteReference w:id="50"/>
      </w:r>
      <w:r w:rsidR="0065583C" w:rsidRPr="00E90F29">
        <w:rPr>
          <w:rFonts w:ascii="Arial" w:hAnsi="Arial" w:cs="Arial"/>
          <w:sz w:val="22"/>
          <w:szCs w:val="22"/>
        </w:rPr>
        <w:t xml:space="preserve"> In the </w:t>
      </w:r>
      <w:proofErr w:type="spellStart"/>
      <w:r w:rsidR="0065583C" w:rsidRPr="00E90F29">
        <w:rPr>
          <w:rFonts w:ascii="Arial" w:hAnsi="Arial" w:cs="Arial"/>
          <w:i/>
          <w:sz w:val="22"/>
          <w:szCs w:val="22"/>
        </w:rPr>
        <w:t>Radunovic</w:t>
      </w:r>
      <w:proofErr w:type="spellEnd"/>
      <w:r w:rsidR="0065583C" w:rsidRPr="00E90F29">
        <w:rPr>
          <w:rFonts w:ascii="Arial" w:hAnsi="Arial" w:cs="Arial"/>
          <w:sz w:val="22"/>
          <w:szCs w:val="22"/>
        </w:rPr>
        <w:t xml:space="preserve"> case, </w:t>
      </w:r>
      <w:r w:rsidR="000373E1" w:rsidRPr="00E90F29">
        <w:rPr>
          <w:rFonts w:ascii="Arial" w:hAnsi="Arial" w:cs="Arial"/>
          <w:sz w:val="22"/>
          <w:szCs w:val="22"/>
        </w:rPr>
        <w:t xml:space="preserve">for instance, </w:t>
      </w:r>
      <w:r w:rsidR="0065583C" w:rsidRPr="00E90F29">
        <w:rPr>
          <w:rFonts w:ascii="Arial" w:hAnsi="Arial" w:cs="Arial"/>
          <w:sz w:val="22"/>
          <w:szCs w:val="22"/>
        </w:rPr>
        <w:t>the  Panel noted</w:t>
      </w:r>
      <w:r w:rsidR="000F25E3" w:rsidRPr="00E90F29">
        <w:rPr>
          <w:rFonts w:ascii="Arial" w:hAnsi="Arial" w:cs="Arial"/>
          <w:sz w:val="22"/>
          <w:szCs w:val="22"/>
        </w:rPr>
        <w:t xml:space="preserve"> that a requirement to provide translations of relevant documents into English may constitute a serious financial burden for some claimants, such as the complainant, who is an unemployed IDP and is living on modest benefit. This might undermine the claimant’s ability to seek and obtain a relief to which she would otherwise be entitled by law.</w:t>
      </w:r>
      <w:r w:rsidR="0065583C" w:rsidRPr="00E90F29">
        <w:rPr>
          <w:rStyle w:val="FootnoteReference"/>
          <w:rFonts w:ascii="Arial" w:hAnsi="Arial" w:cs="Arial"/>
          <w:sz w:val="22"/>
          <w:szCs w:val="22"/>
        </w:rPr>
        <w:footnoteReference w:id="51"/>
      </w:r>
      <w:r w:rsidR="000F25E3" w:rsidRPr="00E90F29">
        <w:rPr>
          <w:rFonts w:ascii="Arial" w:hAnsi="Arial" w:cs="Arial"/>
          <w:sz w:val="22"/>
          <w:szCs w:val="22"/>
        </w:rPr>
        <w:t xml:space="preserve"> </w:t>
      </w:r>
    </w:p>
    <w:p w14:paraId="4A8DE7B6" w14:textId="77777777" w:rsidR="007B3B0E" w:rsidRPr="00E90F29" w:rsidRDefault="007B3B0E" w:rsidP="00E90F29">
      <w:pPr>
        <w:spacing w:line="360" w:lineRule="auto"/>
        <w:jc w:val="both"/>
        <w:rPr>
          <w:rFonts w:ascii="Arial" w:hAnsi="Arial" w:cs="Arial"/>
          <w:sz w:val="22"/>
          <w:szCs w:val="22"/>
          <w:lang w:val="en-GB"/>
        </w:rPr>
      </w:pPr>
    </w:p>
    <w:p w14:paraId="0F96CB4D" w14:textId="0BBF88AB" w:rsidR="002234EB" w:rsidRPr="00E90F29" w:rsidRDefault="00F71527" w:rsidP="00E90F29">
      <w:pPr>
        <w:pStyle w:val="Heading2"/>
      </w:pPr>
      <w:bookmarkStart w:id="28" w:name="_Toc513713970"/>
      <w:r w:rsidRPr="00E90F29">
        <w:t xml:space="preserve">3.6 </w:t>
      </w:r>
      <w:r w:rsidR="002234EB" w:rsidRPr="00E90F29">
        <w:t>Right to family life and privacy</w:t>
      </w:r>
      <w:bookmarkEnd w:id="28"/>
      <w:r w:rsidR="002234EB" w:rsidRPr="00E90F29">
        <w:t xml:space="preserve"> </w:t>
      </w:r>
    </w:p>
    <w:p w14:paraId="754E7CD6" w14:textId="77777777" w:rsidR="008732C4" w:rsidRPr="00E90F29" w:rsidRDefault="008732C4" w:rsidP="00E90F29">
      <w:pPr>
        <w:spacing w:line="360" w:lineRule="auto"/>
        <w:jc w:val="both"/>
        <w:rPr>
          <w:rFonts w:ascii="Arial" w:hAnsi="Arial" w:cs="Arial"/>
          <w:sz w:val="22"/>
          <w:szCs w:val="22"/>
          <w:lang w:val="en-GB"/>
        </w:rPr>
      </w:pPr>
    </w:p>
    <w:p w14:paraId="5489B81D" w14:textId="1F913089" w:rsidR="00883EB0" w:rsidRPr="00E90F29" w:rsidRDefault="00AC5B01" w:rsidP="00E90F29">
      <w:pPr>
        <w:pStyle w:val="Heading3"/>
      </w:pPr>
      <w:bookmarkStart w:id="29" w:name="_Toc513713971"/>
      <w:r w:rsidRPr="00E90F29">
        <w:t xml:space="preserve">3.6.1 </w:t>
      </w:r>
      <w:r w:rsidR="00883EB0" w:rsidRPr="00E90F29">
        <w:t>General considerations</w:t>
      </w:r>
      <w:bookmarkEnd w:id="29"/>
      <w:r w:rsidR="00883EB0" w:rsidRPr="00E90F29">
        <w:t xml:space="preserve"> </w:t>
      </w:r>
    </w:p>
    <w:p w14:paraId="2AAF5A46" w14:textId="1D87502B" w:rsidR="002375C6" w:rsidRPr="00E90F29" w:rsidRDefault="002E29EF" w:rsidP="00E90F29">
      <w:pPr>
        <w:spacing w:line="360" w:lineRule="auto"/>
        <w:jc w:val="both"/>
        <w:rPr>
          <w:rFonts w:ascii="Arial" w:hAnsi="Arial" w:cs="Arial"/>
          <w:color w:val="000000"/>
          <w:sz w:val="22"/>
          <w:szCs w:val="22"/>
        </w:rPr>
      </w:pPr>
      <w:r w:rsidRPr="00E90F29">
        <w:rPr>
          <w:rFonts w:ascii="Arial" w:hAnsi="Arial" w:cs="Arial"/>
          <w:sz w:val="22"/>
          <w:szCs w:val="22"/>
          <w:lang w:val="en-GB"/>
        </w:rPr>
        <w:t xml:space="preserve">The Panel has had occasion to rely on Article 8 of the European Convention of Human Rights, </w:t>
      </w:r>
      <w:r w:rsidR="00467C27" w:rsidRPr="00E90F29">
        <w:rPr>
          <w:rFonts w:ascii="Arial" w:hAnsi="Arial" w:cs="Arial"/>
          <w:sz w:val="22"/>
          <w:szCs w:val="22"/>
          <w:lang w:val="en-GB"/>
        </w:rPr>
        <w:t>which protects</w:t>
      </w:r>
      <w:r w:rsidRPr="00E90F29">
        <w:rPr>
          <w:rFonts w:ascii="Arial" w:hAnsi="Arial" w:cs="Arial"/>
          <w:sz w:val="22"/>
          <w:szCs w:val="22"/>
          <w:lang w:val="en-GB"/>
        </w:rPr>
        <w:t xml:space="preserve"> </w:t>
      </w:r>
      <w:r w:rsidRPr="00E90F29">
        <w:rPr>
          <w:rFonts w:ascii="Arial" w:hAnsi="Arial" w:cs="Arial"/>
          <w:sz w:val="22"/>
          <w:szCs w:val="22"/>
        </w:rPr>
        <w:t xml:space="preserve">the right to respect for private and family life. In </w:t>
      </w:r>
      <w:r w:rsidRPr="00E90F29">
        <w:rPr>
          <w:rFonts w:ascii="Arial" w:hAnsi="Arial" w:cs="Arial"/>
          <w:i/>
          <w:sz w:val="22"/>
          <w:szCs w:val="22"/>
        </w:rPr>
        <w:t>Y against EULEX</w:t>
      </w:r>
      <w:r w:rsidRPr="00E90F29">
        <w:rPr>
          <w:rFonts w:ascii="Arial" w:hAnsi="Arial" w:cs="Arial"/>
          <w:sz w:val="22"/>
          <w:szCs w:val="22"/>
        </w:rPr>
        <w:t xml:space="preserve">, for instance, </w:t>
      </w:r>
      <w:r w:rsidR="002C1ECA" w:rsidRPr="00E90F29">
        <w:rPr>
          <w:rFonts w:ascii="Arial" w:hAnsi="Arial" w:cs="Arial"/>
          <w:sz w:val="22"/>
          <w:szCs w:val="22"/>
        </w:rPr>
        <w:t xml:space="preserve">the Panel held that, consistent with </w:t>
      </w:r>
      <w:r w:rsidR="002C1ECA" w:rsidRPr="00E90F29">
        <w:rPr>
          <w:rFonts w:ascii="Arial" w:hAnsi="Arial" w:cs="Arial"/>
          <w:color w:val="000000"/>
          <w:sz w:val="22"/>
          <w:szCs w:val="22"/>
        </w:rPr>
        <w:t>the case-law of the European Court of Human Rights, a person’s reputation constitutes part of the right to respect for private life, and is therefore protected by Article 8 of the Convention.</w:t>
      </w:r>
      <w:r w:rsidR="002C1ECA" w:rsidRPr="00E90F29">
        <w:rPr>
          <w:rStyle w:val="FootnoteReference"/>
          <w:rFonts w:ascii="Arial" w:hAnsi="Arial" w:cs="Arial"/>
          <w:color w:val="000000"/>
          <w:sz w:val="22"/>
          <w:szCs w:val="22"/>
        </w:rPr>
        <w:footnoteReference w:id="52"/>
      </w:r>
      <w:r w:rsidR="002375C6" w:rsidRPr="00E90F29">
        <w:rPr>
          <w:rFonts w:ascii="Arial" w:hAnsi="Arial" w:cs="Arial"/>
          <w:color w:val="000000"/>
          <w:sz w:val="22"/>
          <w:szCs w:val="22"/>
        </w:rPr>
        <w:t xml:space="preserve"> However, the Panel said, in order for Article 8 to </w:t>
      </w:r>
      <w:r w:rsidR="00467C27" w:rsidRPr="00E90F29">
        <w:rPr>
          <w:rFonts w:ascii="Arial" w:hAnsi="Arial" w:cs="Arial"/>
          <w:color w:val="000000"/>
          <w:sz w:val="22"/>
          <w:szCs w:val="22"/>
        </w:rPr>
        <w:t>be violated</w:t>
      </w:r>
      <w:r w:rsidR="002375C6" w:rsidRPr="00E90F29">
        <w:rPr>
          <w:rFonts w:ascii="Arial" w:hAnsi="Arial" w:cs="Arial"/>
          <w:color w:val="000000"/>
          <w:sz w:val="22"/>
          <w:szCs w:val="22"/>
        </w:rPr>
        <w:t xml:space="preserve">, the attack on a person’s </w:t>
      </w:r>
      <w:proofErr w:type="spellStart"/>
      <w:r w:rsidR="002375C6" w:rsidRPr="00E90F29">
        <w:rPr>
          <w:rFonts w:ascii="Arial" w:hAnsi="Arial" w:cs="Arial"/>
          <w:color w:val="000000"/>
          <w:sz w:val="22"/>
          <w:szCs w:val="22"/>
        </w:rPr>
        <w:t>honour</w:t>
      </w:r>
      <w:proofErr w:type="spellEnd"/>
      <w:r w:rsidR="002375C6" w:rsidRPr="00E90F29">
        <w:rPr>
          <w:rFonts w:ascii="Arial" w:hAnsi="Arial" w:cs="Arial"/>
          <w:color w:val="000000"/>
          <w:sz w:val="22"/>
          <w:szCs w:val="22"/>
        </w:rPr>
        <w:t xml:space="preserve"> and reputation must attain a certain level of gravity.</w:t>
      </w:r>
      <w:r w:rsidR="002375C6" w:rsidRPr="00E90F29">
        <w:rPr>
          <w:rStyle w:val="FootnoteReference"/>
          <w:rFonts w:ascii="Arial" w:hAnsi="Arial" w:cs="Arial"/>
          <w:color w:val="000000"/>
          <w:sz w:val="22"/>
          <w:szCs w:val="22"/>
        </w:rPr>
        <w:footnoteReference w:id="53"/>
      </w:r>
      <w:r w:rsidR="002375C6" w:rsidRPr="00E90F29">
        <w:rPr>
          <w:rFonts w:ascii="Arial" w:hAnsi="Arial" w:cs="Arial"/>
          <w:color w:val="000000"/>
          <w:sz w:val="22"/>
          <w:szCs w:val="22"/>
        </w:rPr>
        <w:t xml:space="preserve"> </w:t>
      </w:r>
      <w:r w:rsidR="00467C27" w:rsidRPr="00E90F29">
        <w:rPr>
          <w:rFonts w:ascii="Arial" w:hAnsi="Arial" w:cs="Arial"/>
          <w:color w:val="000000"/>
          <w:sz w:val="22"/>
          <w:szCs w:val="22"/>
        </w:rPr>
        <w:t xml:space="preserve">The Panel found that this had not been established in this particular case. </w:t>
      </w:r>
    </w:p>
    <w:p w14:paraId="06932526" w14:textId="77777777" w:rsidR="002375C6" w:rsidRPr="00E90F29" w:rsidRDefault="002375C6" w:rsidP="00E90F29">
      <w:pPr>
        <w:spacing w:line="360" w:lineRule="auto"/>
        <w:jc w:val="both"/>
        <w:rPr>
          <w:rFonts w:ascii="Arial" w:hAnsi="Arial" w:cs="Arial"/>
          <w:color w:val="000000"/>
          <w:sz w:val="22"/>
          <w:szCs w:val="22"/>
        </w:rPr>
      </w:pPr>
    </w:p>
    <w:p w14:paraId="0CEFE8CE" w14:textId="0DD215F8" w:rsidR="0021693D" w:rsidRPr="00E90F29" w:rsidRDefault="00FA5A7A" w:rsidP="00E90F29">
      <w:pPr>
        <w:pStyle w:val="Heading3"/>
      </w:pPr>
      <w:bookmarkStart w:id="30" w:name="_Toc513713972"/>
      <w:r w:rsidRPr="00E90F29">
        <w:t xml:space="preserve">3.6.2 </w:t>
      </w:r>
      <w:r w:rsidR="0021693D" w:rsidRPr="00E90F29">
        <w:t>Right to “private life” as a broad notion</w:t>
      </w:r>
      <w:bookmarkEnd w:id="30"/>
    </w:p>
    <w:p w14:paraId="484409A6" w14:textId="638E8FC1" w:rsidR="0021693D" w:rsidRPr="00E90F29" w:rsidRDefault="0021693D" w:rsidP="00E90F29">
      <w:pPr>
        <w:spacing w:line="360" w:lineRule="auto"/>
        <w:jc w:val="both"/>
        <w:rPr>
          <w:rFonts w:ascii="Arial" w:hAnsi="Arial" w:cs="Arial"/>
          <w:sz w:val="22"/>
          <w:szCs w:val="22"/>
        </w:rPr>
      </w:pPr>
      <w:r w:rsidRPr="00E90F29">
        <w:rPr>
          <w:rFonts w:ascii="Arial" w:hAnsi="Arial" w:cs="Arial"/>
          <w:sz w:val="22"/>
          <w:szCs w:val="22"/>
        </w:rPr>
        <w:t xml:space="preserve">The Panel </w:t>
      </w:r>
      <w:r w:rsidR="00467C27" w:rsidRPr="00E90F29">
        <w:rPr>
          <w:rFonts w:ascii="Arial" w:hAnsi="Arial" w:cs="Arial"/>
          <w:sz w:val="22"/>
          <w:szCs w:val="22"/>
        </w:rPr>
        <w:t>noted</w:t>
      </w:r>
      <w:r w:rsidRPr="00E90F29">
        <w:rPr>
          <w:rFonts w:ascii="Arial" w:hAnsi="Arial" w:cs="Arial"/>
          <w:sz w:val="22"/>
          <w:szCs w:val="22"/>
        </w:rPr>
        <w:t xml:space="preserve"> that, according to the </w:t>
      </w:r>
      <w:r w:rsidR="00467C27" w:rsidRPr="00E90F29">
        <w:rPr>
          <w:rFonts w:ascii="Arial" w:hAnsi="Arial" w:cs="Arial"/>
          <w:sz w:val="22"/>
          <w:szCs w:val="22"/>
        </w:rPr>
        <w:t>ECtHR’s</w:t>
      </w:r>
      <w:r w:rsidRPr="00E90F29">
        <w:rPr>
          <w:rFonts w:ascii="Arial" w:hAnsi="Arial" w:cs="Arial"/>
          <w:sz w:val="22"/>
          <w:szCs w:val="22"/>
        </w:rPr>
        <w:t xml:space="preserve"> case-law, the notion of “private life” is a broad one and is not susceptible to exhaustive definition; it may, depending on the circumstances, cover the moral and physical integrity of the person.</w:t>
      </w:r>
      <w:r w:rsidRPr="00E90F29">
        <w:rPr>
          <w:rStyle w:val="FootnoteReference"/>
          <w:rFonts w:ascii="Arial" w:hAnsi="Arial" w:cs="Arial"/>
          <w:sz w:val="22"/>
          <w:szCs w:val="22"/>
        </w:rPr>
        <w:footnoteReference w:id="54"/>
      </w:r>
      <w:r w:rsidRPr="00E90F29">
        <w:rPr>
          <w:rFonts w:ascii="Arial" w:hAnsi="Arial" w:cs="Arial"/>
          <w:sz w:val="22"/>
          <w:szCs w:val="22"/>
        </w:rPr>
        <w:t xml:space="preserve"> </w:t>
      </w:r>
    </w:p>
    <w:p w14:paraId="3E36F9D9" w14:textId="77777777" w:rsidR="0021693D" w:rsidRPr="00E90F29" w:rsidRDefault="0021693D" w:rsidP="00E90F29">
      <w:pPr>
        <w:spacing w:line="360" w:lineRule="auto"/>
        <w:jc w:val="both"/>
        <w:rPr>
          <w:rFonts w:ascii="Arial" w:hAnsi="Arial" w:cs="Arial"/>
          <w:sz w:val="22"/>
          <w:szCs w:val="22"/>
        </w:rPr>
      </w:pPr>
    </w:p>
    <w:p w14:paraId="61B96006" w14:textId="5CDAE0E9" w:rsidR="00652C9F" w:rsidRPr="00E90F29" w:rsidRDefault="00FA5A7A" w:rsidP="00E90F29">
      <w:pPr>
        <w:pStyle w:val="Heading3"/>
      </w:pPr>
      <w:bookmarkStart w:id="31" w:name="_Toc513713973"/>
      <w:r w:rsidRPr="00E90F29">
        <w:rPr>
          <w:color w:val="000000"/>
        </w:rPr>
        <w:t xml:space="preserve">3.6.3 </w:t>
      </w:r>
      <w:r w:rsidR="00652C9F" w:rsidRPr="00E90F29">
        <w:t>Negative and positive obligations arising for the authorities from this right</w:t>
      </w:r>
      <w:bookmarkEnd w:id="31"/>
    </w:p>
    <w:p w14:paraId="7F94EA39" w14:textId="7425E374" w:rsidR="00652C9F" w:rsidRPr="00E90F29" w:rsidRDefault="00467C27" w:rsidP="00E90F29">
      <w:pPr>
        <w:spacing w:line="360" w:lineRule="auto"/>
        <w:jc w:val="both"/>
        <w:rPr>
          <w:rFonts w:ascii="Arial" w:hAnsi="Arial" w:cs="Arial"/>
          <w:sz w:val="22"/>
          <w:szCs w:val="22"/>
        </w:rPr>
      </w:pPr>
      <w:r w:rsidRPr="00E90F29">
        <w:rPr>
          <w:rFonts w:ascii="Arial" w:hAnsi="Arial" w:cs="Arial"/>
          <w:color w:val="000000"/>
          <w:sz w:val="22"/>
          <w:szCs w:val="22"/>
        </w:rPr>
        <w:t>The Panel further stated</w:t>
      </w:r>
      <w:r w:rsidR="00652C9F" w:rsidRPr="00E90F29">
        <w:rPr>
          <w:rFonts w:ascii="Arial" w:hAnsi="Arial" w:cs="Arial"/>
          <w:color w:val="000000"/>
          <w:sz w:val="22"/>
          <w:szCs w:val="22"/>
        </w:rPr>
        <w:t xml:space="preserve"> that, although the object of Article 8</w:t>
      </w:r>
      <w:r w:rsidR="00EC2CAF" w:rsidRPr="00E90F29">
        <w:rPr>
          <w:rFonts w:ascii="Arial" w:hAnsi="Arial" w:cs="Arial"/>
          <w:color w:val="000000"/>
          <w:sz w:val="22"/>
          <w:szCs w:val="22"/>
        </w:rPr>
        <w:t xml:space="preserve"> of the European Convention</w:t>
      </w:r>
      <w:r w:rsidR="00652C9F" w:rsidRPr="00E90F29">
        <w:rPr>
          <w:rFonts w:ascii="Arial" w:hAnsi="Arial" w:cs="Arial"/>
          <w:color w:val="000000"/>
          <w:sz w:val="22"/>
          <w:szCs w:val="22"/>
        </w:rPr>
        <w:t xml:space="preserve"> is essentially that of protecting the individual against arbitrary interference by the public authorities, it does not merely compel the authorities to abstain from such interference</w:t>
      </w:r>
      <w:r w:rsidR="00EC2CAF" w:rsidRPr="00E90F29">
        <w:rPr>
          <w:rFonts w:ascii="Arial" w:hAnsi="Arial" w:cs="Arial"/>
          <w:sz w:val="22"/>
          <w:szCs w:val="22"/>
        </w:rPr>
        <w:t xml:space="preserve">; it might also require positive acts on their part: </w:t>
      </w:r>
    </w:p>
    <w:p w14:paraId="552A0F77" w14:textId="77777777" w:rsidR="00652C9F" w:rsidRPr="00E90F29" w:rsidRDefault="00652C9F" w:rsidP="00E90F29">
      <w:pPr>
        <w:spacing w:line="360" w:lineRule="auto"/>
        <w:jc w:val="both"/>
        <w:rPr>
          <w:rFonts w:ascii="Arial" w:hAnsi="Arial" w:cs="Arial"/>
          <w:sz w:val="22"/>
          <w:szCs w:val="22"/>
        </w:rPr>
      </w:pPr>
    </w:p>
    <w:p w14:paraId="1241EF70" w14:textId="0EEA7F80" w:rsidR="00652C9F" w:rsidRPr="00E90F29" w:rsidRDefault="00652C9F" w:rsidP="00E90F29">
      <w:pPr>
        <w:spacing w:line="360" w:lineRule="auto"/>
        <w:ind w:left="567"/>
        <w:jc w:val="both"/>
        <w:rPr>
          <w:rFonts w:ascii="Arial" w:hAnsi="Arial" w:cs="Arial"/>
          <w:color w:val="000000"/>
          <w:sz w:val="22"/>
          <w:szCs w:val="22"/>
        </w:rPr>
      </w:pPr>
      <w:r w:rsidRPr="00E90F29">
        <w:rPr>
          <w:rFonts w:ascii="Arial" w:hAnsi="Arial" w:cs="Arial"/>
          <w:sz w:val="22"/>
          <w:szCs w:val="22"/>
        </w:rPr>
        <w:t>“</w:t>
      </w:r>
      <w:r w:rsidRPr="00E90F29">
        <w:rPr>
          <w:rFonts w:ascii="Arial" w:hAnsi="Arial" w:cs="Arial"/>
          <w:color w:val="000000"/>
          <w:sz w:val="22"/>
          <w:szCs w:val="22"/>
        </w:rPr>
        <w:t xml:space="preserve">in addition to this primarily negative undertaking, there may be positive obligations inherent in an effective respect for private life. The boundaries between the positive and negative obligations of the authorities under Article 8 do not lend themselves to precise definition, but the applicable principles are nonetheless similar. In particular, in both instances regard must be had to the fair balance which has to be struck between the general interest and the individual interests; and in both contexts the authorities enjoy a certain margin of appreciation (see, among many other authorities, </w:t>
      </w:r>
      <w:r w:rsidRPr="00E90F29">
        <w:rPr>
          <w:rFonts w:ascii="Arial" w:hAnsi="Arial" w:cs="Arial"/>
          <w:i/>
          <w:color w:val="000000"/>
          <w:sz w:val="22"/>
          <w:szCs w:val="22"/>
        </w:rPr>
        <w:t xml:space="preserve">Fernández Martínez v. Spain </w:t>
      </w:r>
      <w:r w:rsidRPr="00E90F29">
        <w:rPr>
          <w:rFonts w:ascii="Arial" w:hAnsi="Arial" w:cs="Arial"/>
          <w:color w:val="000000"/>
          <w:sz w:val="22"/>
          <w:szCs w:val="22"/>
        </w:rPr>
        <w:t xml:space="preserve">[GC], no. 56030/07, § 114, 12 June 2014, </w:t>
      </w:r>
      <w:proofErr w:type="spellStart"/>
      <w:r w:rsidRPr="00E90F29">
        <w:rPr>
          <w:rFonts w:ascii="Arial" w:hAnsi="Arial" w:cs="Arial"/>
          <w:i/>
          <w:color w:val="000000"/>
          <w:sz w:val="22"/>
          <w:szCs w:val="22"/>
        </w:rPr>
        <w:t>Schüth</w:t>
      </w:r>
      <w:proofErr w:type="spellEnd"/>
      <w:r w:rsidRPr="00E90F29">
        <w:rPr>
          <w:rFonts w:ascii="Arial" w:hAnsi="Arial" w:cs="Arial"/>
          <w:i/>
          <w:color w:val="000000"/>
          <w:sz w:val="22"/>
          <w:szCs w:val="22"/>
        </w:rPr>
        <w:t xml:space="preserve"> v. Germany</w:t>
      </w:r>
      <w:r w:rsidRPr="00E90F29">
        <w:rPr>
          <w:rFonts w:ascii="Arial" w:hAnsi="Arial" w:cs="Arial"/>
          <w:color w:val="000000"/>
          <w:sz w:val="22"/>
          <w:szCs w:val="22"/>
        </w:rPr>
        <w:t xml:space="preserve">, no. 1620/03, § 55, ECHR 2010; </w:t>
      </w:r>
      <w:r w:rsidRPr="00E90F29">
        <w:rPr>
          <w:rFonts w:ascii="Arial" w:hAnsi="Arial" w:cs="Arial"/>
          <w:i/>
          <w:color w:val="000000"/>
          <w:sz w:val="22"/>
          <w:szCs w:val="22"/>
        </w:rPr>
        <w:t>Von Hannover v. Germany</w:t>
      </w:r>
      <w:r w:rsidRPr="00E90F29">
        <w:rPr>
          <w:rFonts w:ascii="Arial" w:hAnsi="Arial" w:cs="Arial"/>
          <w:color w:val="000000"/>
          <w:sz w:val="22"/>
          <w:szCs w:val="22"/>
        </w:rPr>
        <w:t>, no. 59320/00, § 57, ECHR 2004</w:t>
      </w:r>
      <w:r w:rsidRPr="00E90F29">
        <w:rPr>
          <w:rFonts w:ascii="Cambria Math" w:eastAsia="MS Gothic" w:hAnsi="Cambria Math" w:cs="Cambria Math"/>
          <w:color w:val="000000"/>
          <w:sz w:val="22"/>
          <w:szCs w:val="22"/>
        </w:rPr>
        <w:t>‑</w:t>
      </w:r>
      <w:r w:rsidRPr="00E90F29">
        <w:rPr>
          <w:rFonts w:ascii="Arial" w:hAnsi="Arial" w:cs="Arial"/>
          <w:color w:val="000000"/>
          <w:sz w:val="22"/>
          <w:szCs w:val="22"/>
        </w:rPr>
        <w:t>VI).”</w:t>
      </w:r>
      <w:r w:rsidRPr="00E90F29">
        <w:rPr>
          <w:rStyle w:val="FootnoteReference"/>
          <w:rFonts w:ascii="Arial" w:hAnsi="Arial" w:cs="Arial"/>
          <w:color w:val="000000"/>
          <w:sz w:val="22"/>
          <w:szCs w:val="22"/>
        </w:rPr>
        <w:footnoteReference w:id="55"/>
      </w:r>
      <w:r w:rsidRPr="00E90F29">
        <w:rPr>
          <w:rFonts w:ascii="Arial" w:hAnsi="Arial" w:cs="Arial"/>
          <w:color w:val="000000"/>
          <w:sz w:val="22"/>
          <w:szCs w:val="22"/>
        </w:rPr>
        <w:t xml:space="preserve"> </w:t>
      </w:r>
    </w:p>
    <w:p w14:paraId="1661DB9A" w14:textId="389A4B27" w:rsidR="00652C9F" w:rsidRPr="00E90F29" w:rsidRDefault="00652C9F" w:rsidP="00E90F29">
      <w:pPr>
        <w:spacing w:line="360" w:lineRule="auto"/>
        <w:jc w:val="both"/>
        <w:rPr>
          <w:rFonts w:ascii="Arial" w:hAnsi="Arial" w:cs="Arial"/>
          <w:sz w:val="22"/>
          <w:szCs w:val="22"/>
        </w:rPr>
      </w:pPr>
    </w:p>
    <w:p w14:paraId="1CD10B62" w14:textId="192A0E89" w:rsidR="00397540" w:rsidRPr="00E90F29" w:rsidRDefault="00397540" w:rsidP="00E90F29">
      <w:pPr>
        <w:spacing w:line="360" w:lineRule="auto"/>
        <w:jc w:val="both"/>
        <w:rPr>
          <w:rFonts w:ascii="Arial" w:hAnsi="Arial" w:cs="Arial"/>
          <w:sz w:val="22"/>
          <w:szCs w:val="22"/>
        </w:rPr>
      </w:pPr>
      <w:r w:rsidRPr="00E90F29">
        <w:rPr>
          <w:rFonts w:ascii="Arial" w:hAnsi="Arial" w:cs="Arial"/>
          <w:sz w:val="22"/>
          <w:szCs w:val="22"/>
        </w:rPr>
        <w:t xml:space="preserve">The question of the boundaries of those positive obligations where raised in the </w:t>
      </w:r>
      <w:proofErr w:type="spellStart"/>
      <w:r w:rsidRPr="00E90F29">
        <w:rPr>
          <w:rFonts w:ascii="Arial" w:hAnsi="Arial" w:cs="Arial"/>
          <w:i/>
          <w:sz w:val="22"/>
          <w:szCs w:val="22"/>
        </w:rPr>
        <w:t>Krlic</w:t>
      </w:r>
      <w:proofErr w:type="spellEnd"/>
      <w:r w:rsidRPr="00E90F29">
        <w:rPr>
          <w:rFonts w:ascii="Arial" w:hAnsi="Arial" w:cs="Arial"/>
          <w:sz w:val="22"/>
          <w:szCs w:val="22"/>
        </w:rPr>
        <w:t xml:space="preserve"> case where the </w:t>
      </w:r>
      <w:r w:rsidRPr="00E90F29">
        <w:rPr>
          <w:rFonts w:ascii="Arial" w:hAnsi="Arial" w:cs="Arial"/>
          <w:color w:val="000000"/>
          <w:sz w:val="22"/>
          <w:szCs w:val="22"/>
        </w:rPr>
        <w:t xml:space="preserve">main question was whether EULEX was required, in the context of its positive obligations </w:t>
      </w:r>
      <w:r w:rsidR="00EC2CAF" w:rsidRPr="00E90F29">
        <w:rPr>
          <w:rFonts w:ascii="Arial" w:hAnsi="Arial" w:cs="Arial"/>
          <w:color w:val="000000"/>
          <w:sz w:val="22"/>
          <w:szCs w:val="22"/>
        </w:rPr>
        <w:t>arising from</w:t>
      </w:r>
      <w:r w:rsidRPr="00E90F29">
        <w:rPr>
          <w:rFonts w:ascii="Arial" w:hAnsi="Arial" w:cs="Arial"/>
          <w:color w:val="000000"/>
          <w:sz w:val="22"/>
          <w:szCs w:val="22"/>
        </w:rPr>
        <w:t xml:space="preserve"> </w:t>
      </w:r>
      <w:r w:rsidR="00EC2CAF" w:rsidRPr="00E90F29">
        <w:rPr>
          <w:rFonts w:ascii="Arial" w:hAnsi="Arial" w:cs="Arial"/>
          <w:color w:val="000000"/>
          <w:sz w:val="22"/>
          <w:szCs w:val="22"/>
        </w:rPr>
        <w:t>that right</w:t>
      </w:r>
      <w:r w:rsidRPr="00E90F29">
        <w:rPr>
          <w:rFonts w:ascii="Arial" w:hAnsi="Arial" w:cs="Arial"/>
          <w:color w:val="000000"/>
          <w:sz w:val="22"/>
          <w:szCs w:val="22"/>
        </w:rPr>
        <w:t>, to uphold the complainant’s right to respect for his private life by allowing him entry to Kosovo and a visit to his acquaintance and a church there. In the circumstances of the case, the Panel found that this was not the case:</w:t>
      </w:r>
    </w:p>
    <w:p w14:paraId="1AAE6A3F" w14:textId="77777777" w:rsidR="00397540" w:rsidRPr="00E90F29" w:rsidRDefault="00397540" w:rsidP="00E90F29">
      <w:pPr>
        <w:spacing w:line="360" w:lineRule="auto"/>
        <w:ind w:left="720"/>
        <w:jc w:val="both"/>
        <w:rPr>
          <w:rFonts w:ascii="Arial" w:hAnsi="Arial" w:cs="Arial"/>
          <w:color w:val="000000"/>
          <w:sz w:val="22"/>
          <w:szCs w:val="22"/>
        </w:rPr>
      </w:pPr>
    </w:p>
    <w:p w14:paraId="0C0F68AA" w14:textId="6AFC30A5" w:rsidR="00397540" w:rsidRPr="00E90F29" w:rsidRDefault="00397540" w:rsidP="00E90F29">
      <w:pPr>
        <w:spacing w:line="360" w:lineRule="auto"/>
        <w:ind w:left="720"/>
        <w:jc w:val="both"/>
        <w:rPr>
          <w:rFonts w:ascii="Arial" w:hAnsi="Arial" w:cs="Arial"/>
          <w:color w:val="000000"/>
          <w:sz w:val="22"/>
          <w:szCs w:val="22"/>
        </w:rPr>
      </w:pPr>
      <w:r w:rsidRPr="00E90F29">
        <w:rPr>
          <w:rFonts w:ascii="Arial" w:hAnsi="Arial" w:cs="Arial"/>
          <w:color w:val="000000"/>
          <w:sz w:val="22"/>
          <w:szCs w:val="22"/>
        </w:rPr>
        <w:t xml:space="preserve">“27.The Panel finds that the complainant did not comply with the applicable procedural requirements.  The requirements applying to visits of Serbian government officials were specified in the informal agreement, in force and followed by Serbia and Kosovo since 2009. The applicant did not comply with these as he had not lodged a request to the Office of the Deputy Prime Minister of Kosovo. In the Panel’s view the complainant has adduced no persuasive arguments that he could not have known the established procedure. He holds </w:t>
      </w:r>
      <w:r w:rsidRPr="00E90F29">
        <w:rPr>
          <w:rFonts w:ascii="Arial" w:hAnsi="Arial" w:cs="Arial"/>
          <w:color w:val="000000"/>
          <w:sz w:val="22"/>
          <w:szCs w:val="22"/>
        </w:rPr>
        <w:lastRenderedPageBreak/>
        <w:t xml:space="preserve">a position in the Office for Kosovo and </w:t>
      </w:r>
      <w:proofErr w:type="spellStart"/>
      <w:r w:rsidRPr="00E90F29">
        <w:rPr>
          <w:rFonts w:ascii="Arial" w:hAnsi="Arial" w:cs="Arial"/>
          <w:color w:val="000000"/>
          <w:sz w:val="22"/>
          <w:szCs w:val="22"/>
        </w:rPr>
        <w:t>Metohija</w:t>
      </w:r>
      <w:proofErr w:type="spellEnd"/>
      <w:r w:rsidRPr="00E90F29">
        <w:rPr>
          <w:rFonts w:ascii="Arial" w:hAnsi="Arial" w:cs="Arial"/>
          <w:color w:val="000000"/>
          <w:sz w:val="22"/>
          <w:szCs w:val="22"/>
        </w:rPr>
        <w:t xml:space="preserve"> and had visited Kosovo with his superior on a number of occasions prior to the situation complained of (see requests for police escort document submitted by EULEX, par. 12 above) and would therefore have to be aware of the applicable formalities. </w:t>
      </w:r>
    </w:p>
    <w:p w14:paraId="28A6A7E6" w14:textId="77777777" w:rsidR="00397540" w:rsidRPr="00E90F29" w:rsidRDefault="00397540" w:rsidP="00E90F29">
      <w:pPr>
        <w:spacing w:line="360" w:lineRule="auto"/>
        <w:ind w:left="720"/>
        <w:jc w:val="both"/>
        <w:rPr>
          <w:rFonts w:ascii="Arial" w:hAnsi="Arial" w:cs="Arial"/>
          <w:color w:val="000000"/>
          <w:sz w:val="22"/>
          <w:szCs w:val="22"/>
        </w:rPr>
      </w:pPr>
      <w:r w:rsidRPr="00E90F29">
        <w:rPr>
          <w:rFonts w:ascii="Arial" w:hAnsi="Arial" w:cs="Arial"/>
          <w:color w:val="000000"/>
          <w:sz w:val="22"/>
          <w:szCs w:val="22"/>
        </w:rPr>
        <w:t>28.The Panel will leave open the question whether, for the purposes of the present case, Kosovo should be considered a separate state or not with regard to entry requirements.</w:t>
      </w:r>
    </w:p>
    <w:p w14:paraId="31F5EE53" w14:textId="533B3A38" w:rsidR="00397540" w:rsidRPr="00E90F29" w:rsidRDefault="00397540" w:rsidP="00E90F29">
      <w:pPr>
        <w:spacing w:line="360" w:lineRule="auto"/>
        <w:ind w:left="720"/>
        <w:jc w:val="both"/>
        <w:rPr>
          <w:rFonts w:ascii="Arial" w:hAnsi="Arial" w:cs="Arial"/>
          <w:color w:val="000000"/>
          <w:sz w:val="22"/>
          <w:szCs w:val="22"/>
        </w:rPr>
      </w:pPr>
      <w:r w:rsidRPr="00E90F29">
        <w:rPr>
          <w:rFonts w:ascii="Arial" w:hAnsi="Arial" w:cs="Arial"/>
          <w:color w:val="000000"/>
          <w:sz w:val="22"/>
          <w:szCs w:val="22"/>
        </w:rPr>
        <w:t>29.In view of the above, the Panel considers that the EULEX Border Police acted within their margin of appreciation, that a fair balance has been struck between the competing interests in the present case and, consequently, a refusal to allow the complainant entry into Kosovo was justified in the circumstances of the case. Accordingly, there was no violation of Article 8 of the Convention.”</w:t>
      </w:r>
      <w:r w:rsidRPr="00E90F29">
        <w:rPr>
          <w:rStyle w:val="FootnoteReference"/>
          <w:rFonts w:ascii="Arial" w:hAnsi="Arial" w:cs="Arial"/>
          <w:color w:val="000000"/>
          <w:sz w:val="22"/>
          <w:szCs w:val="22"/>
        </w:rPr>
        <w:footnoteReference w:id="56"/>
      </w:r>
    </w:p>
    <w:p w14:paraId="4988B693" w14:textId="77777777" w:rsidR="00397540" w:rsidRPr="00E90F29" w:rsidRDefault="00397540" w:rsidP="00E90F29">
      <w:pPr>
        <w:spacing w:line="360" w:lineRule="auto"/>
        <w:jc w:val="both"/>
        <w:rPr>
          <w:rFonts w:ascii="Arial" w:hAnsi="Arial" w:cs="Arial"/>
          <w:sz w:val="22"/>
          <w:szCs w:val="22"/>
        </w:rPr>
      </w:pPr>
    </w:p>
    <w:p w14:paraId="1FA5B1B4" w14:textId="262BA537" w:rsidR="00652C9F" w:rsidRPr="00E90F29" w:rsidRDefault="00A30D17" w:rsidP="00E90F29">
      <w:pPr>
        <w:spacing w:line="360" w:lineRule="auto"/>
        <w:jc w:val="both"/>
        <w:rPr>
          <w:rFonts w:ascii="Arial" w:hAnsi="Arial" w:cs="Arial"/>
          <w:sz w:val="22"/>
          <w:szCs w:val="22"/>
        </w:rPr>
      </w:pPr>
      <w:r w:rsidRPr="00E90F29">
        <w:rPr>
          <w:rFonts w:ascii="Arial" w:hAnsi="Arial" w:cs="Arial"/>
          <w:sz w:val="22"/>
          <w:szCs w:val="22"/>
        </w:rPr>
        <w:t xml:space="preserve">The positive obligations arising out of </w:t>
      </w:r>
      <w:r w:rsidR="00EC2CAF" w:rsidRPr="00E90F29">
        <w:rPr>
          <w:rFonts w:ascii="Arial" w:hAnsi="Arial" w:cs="Arial"/>
          <w:sz w:val="22"/>
          <w:szCs w:val="22"/>
        </w:rPr>
        <w:t>this fundamental right</w:t>
      </w:r>
      <w:r w:rsidRPr="00E90F29">
        <w:rPr>
          <w:rFonts w:ascii="Arial" w:hAnsi="Arial" w:cs="Arial"/>
          <w:sz w:val="22"/>
          <w:szCs w:val="22"/>
        </w:rPr>
        <w:t xml:space="preserve"> may also require of the authorities to keep </w:t>
      </w:r>
      <w:r w:rsidR="00325578" w:rsidRPr="00E90F29">
        <w:rPr>
          <w:rFonts w:ascii="Arial" w:hAnsi="Arial" w:cs="Arial"/>
          <w:sz w:val="22"/>
          <w:szCs w:val="22"/>
        </w:rPr>
        <w:t>victims informed of the evolution of an investigation pertaining to the violation of their rights under Articles 2 or 3 ECHR.</w:t>
      </w:r>
      <w:r w:rsidR="00325578" w:rsidRPr="00E90F29">
        <w:rPr>
          <w:rStyle w:val="FootnoteReference"/>
          <w:rFonts w:ascii="Arial" w:hAnsi="Arial" w:cs="Arial"/>
          <w:sz w:val="22"/>
          <w:szCs w:val="22"/>
        </w:rPr>
        <w:footnoteReference w:id="57"/>
      </w:r>
    </w:p>
    <w:p w14:paraId="6F744E64" w14:textId="77777777" w:rsidR="00A30D17" w:rsidRPr="00E90F29" w:rsidRDefault="00A30D17" w:rsidP="00E90F29">
      <w:pPr>
        <w:spacing w:line="360" w:lineRule="auto"/>
        <w:jc w:val="both"/>
        <w:rPr>
          <w:rFonts w:ascii="Arial" w:hAnsi="Arial" w:cs="Arial"/>
          <w:sz w:val="22"/>
          <w:szCs w:val="22"/>
        </w:rPr>
      </w:pPr>
    </w:p>
    <w:p w14:paraId="60B667EF" w14:textId="59EC9A1A" w:rsidR="0021693D" w:rsidRPr="00E90F29" w:rsidRDefault="00FA5A7A" w:rsidP="00E90F29">
      <w:pPr>
        <w:pStyle w:val="Heading3"/>
      </w:pPr>
      <w:bookmarkStart w:id="32" w:name="_Toc513713974"/>
      <w:r w:rsidRPr="00E90F29">
        <w:rPr>
          <w:color w:val="000000"/>
        </w:rPr>
        <w:t xml:space="preserve">3.6.4 </w:t>
      </w:r>
      <w:r w:rsidR="0021693D" w:rsidRPr="00E90F29">
        <w:t>Protection of a person’s home and certain professional or business activities or premises</w:t>
      </w:r>
      <w:bookmarkEnd w:id="32"/>
    </w:p>
    <w:p w14:paraId="43F8926D" w14:textId="1B3A6BC8" w:rsidR="0021693D" w:rsidRPr="00E90F29" w:rsidRDefault="0021693D" w:rsidP="00E90F29">
      <w:pPr>
        <w:spacing w:line="360" w:lineRule="auto"/>
        <w:jc w:val="both"/>
        <w:rPr>
          <w:rFonts w:ascii="Arial" w:hAnsi="Arial" w:cs="Arial"/>
          <w:sz w:val="22"/>
          <w:szCs w:val="22"/>
        </w:rPr>
      </w:pPr>
      <w:r w:rsidRPr="00E90F29">
        <w:rPr>
          <w:rFonts w:ascii="Arial" w:hAnsi="Arial" w:cs="Arial"/>
          <w:sz w:val="22"/>
          <w:szCs w:val="22"/>
        </w:rPr>
        <w:t xml:space="preserve">The Panel made clear that Article 8 </w:t>
      </w:r>
      <w:r w:rsidR="00EC2CAF" w:rsidRPr="00E90F29">
        <w:rPr>
          <w:rFonts w:ascii="Arial" w:hAnsi="Arial" w:cs="Arial"/>
          <w:sz w:val="22"/>
          <w:szCs w:val="22"/>
        </w:rPr>
        <w:t xml:space="preserve">of the European Convention </w:t>
      </w:r>
      <w:r w:rsidRPr="00E90F29">
        <w:rPr>
          <w:rFonts w:ascii="Arial" w:hAnsi="Arial" w:cs="Arial"/>
          <w:sz w:val="22"/>
          <w:szCs w:val="22"/>
        </w:rPr>
        <w:t>also protects a person’s home and certain professional or business activities or premises.</w:t>
      </w:r>
      <w:r w:rsidRPr="00E90F29">
        <w:rPr>
          <w:rStyle w:val="FootnoteReference"/>
          <w:rFonts w:ascii="Arial" w:hAnsi="Arial" w:cs="Arial"/>
          <w:sz w:val="22"/>
          <w:szCs w:val="22"/>
        </w:rPr>
        <w:footnoteReference w:id="58"/>
      </w:r>
      <w:r w:rsidR="005B3A53" w:rsidRPr="00E90F29">
        <w:rPr>
          <w:rFonts w:ascii="Arial" w:hAnsi="Arial" w:cs="Arial"/>
          <w:sz w:val="22"/>
          <w:szCs w:val="22"/>
        </w:rPr>
        <w:t xml:space="preserve"> </w:t>
      </w:r>
      <w:r w:rsidRPr="00E90F29">
        <w:rPr>
          <w:rFonts w:ascii="Arial" w:hAnsi="Arial" w:cs="Arial"/>
          <w:sz w:val="22"/>
          <w:szCs w:val="22"/>
        </w:rPr>
        <w:t xml:space="preserve">The Panel </w:t>
      </w:r>
      <w:r w:rsidR="005B3A53" w:rsidRPr="00E90F29">
        <w:rPr>
          <w:rFonts w:ascii="Arial" w:hAnsi="Arial" w:cs="Arial"/>
          <w:sz w:val="22"/>
          <w:szCs w:val="22"/>
        </w:rPr>
        <w:t xml:space="preserve">also </w:t>
      </w:r>
      <w:r w:rsidRPr="00E90F29">
        <w:rPr>
          <w:rFonts w:ascii="Arial" w:hAnsi="Arial" w:cs="Arial"/>
          <w:sz w:val="22"/>
          <w:szCs w:val="22"/>
        </w:rPr>
        <w:t>held that the failure of the authorities to safeguard a person’s physical or moral integrity or to prevent attacks on their home and property can raise issues under Article 8 of the Convention in the context of their positive obligations inherent in this provision.</w:t>
      </w:r>
      <w:r w:rsidRPr="00E90F29">
        <w:rPr>
          <w:rStyle w:val="FootnoteReference"/>
          <w:rFonts w:ascii="Arial" w:hAnsi="Arial" w:cs="Arial"/>
          <w:sz w:val="22"/>
          <w:szCs w:val="22"/>
        </w:rPr>
        <w:footnoteReference w:id="59"/>
      </w:r>
    </w:p>
    <w:p w14:paraId="4B66328E" w14:textId="77777777" w:rsidR="00A840C0" w:rsidRPr="00E90F29" w:rsidRDefault="00A840C0" w:rsidP="00E90F29">
      <w:pPr>
        <w:spacing w:line="360" w:lineRule="auto"/>
        <w:jc w:val="both"/>
        <w:rPr>
          <w:rFonts w:ascii="Arial" w:hAnsi="Arial" w:cs="Arial"/>
          <w:color w:val="000000"/>
          <w:sz w:val="22"/>
          <w:szCs w:val="22"/>
        </w:rPr>
      </w:pPr>
    </w:p>
    <w:p w14:paraId="2511E93D" w14:textId="04004272" w:rsidR="002375C6" w:rsidRPr="00E90F29" w:rsidRDefault="00FA5A7A" w:rsidP="00E90F29">
      <w:pPr>
        <w:pStyle w:val="Heading3"/>
      </w:pPr>
      <w:bookmarkStart w:id="33" w:name="_Toc513713975"/>
      <w:r w:rsidRPr="00E90F29">
        <w:rPr>
          <w:color w:val="000000"/>
        </w:rPr>
        <w:t xml:space="preserve">3.6.5 </w:t>
      </w:r>
      <w:r w:rsidR="002375C6" w:rsidRPr="00E90F29">
        <w:t>Right to family life and privacy and the protection of one’s good name and reputation</w:t>
      </w:r>
      <w:bookmarkEnd w:id="33"/>
      <w:r w:rsidR="002375C6" w:rsidRPr="00E90F29">
        <w:t xml:space="preserve"> </w:t>
      </w:r>
    </w:p>
    <w:p w14:paraId="5C0B647B" w14:textId="29CFBF7F" w:rsidR="005B3A53" w:rsidRPr="00E90F29" w:rsidRDefault="002375C6" w:rsidP="00E90F29">
      <w:pPr>
        <w:spacing w:line="360" w:lineRule="auto"/>
        <w:jc w:val="both"/>
        <w:rPr>
          <w:rFonts w:ascii="Arial" w:hAnsi="Arial" w:cs="Arial"/>
          <w:color w:val="000000"/>
          <w:sz w:val="22"/>
          <w:szCs w:val="22"/>
        </w:rPr>
      </w:pPr>
      <w:r w:rsidRPr="00E90F29">
        <w:rPr>
          <w:rFonts w:ascii="Arial" w:hAnsi="Arial" w:cs="Arial"/>
          <w:color w:val="000000"/>
          <w:sz w:val="22"/>
          <w:szCs w:val="22"/>
        </w:rPr>
        <w:t xml:space="preserve">In the </w:t>
      </w:r>
      <w:r w:rsidRPr="00E90F29">
        <w:rPr>
          <w:rFonts w:ascii="Arial" w:hAnsi="Arial" w:cs="Arial"/>
          <w:i/>
          <w:color w:val="000000"/>
          <w:sz w:val="22"/>
          <w:szCs w:val="22"/>
        </w:rPr>
        <w:t>Y</w:t>
      </w:r>
      <w:r w:rsidRPr="00E90F29">
        <w:rPr>
          <w:rFonts w:ascii="Arial" w:hAnsi="Arial" w:cs="Arial"/>
          <w:color w:val="000000"/>
          <w:sz w:val="22"/>
          <w:szCs w:val="22"/>
        </w:rPr>
        <w:t xml:space="preserve"> case, the Panel said that </w:t>
      </w:r>
      <w:r w:rsidR="005B3A53" w:rsidRPr="00E90F29">
        <w:rPr>
          <w:rFonts w:ascii="Arial" w:hAnsi="Arial" w:cs="Arial"/>
          <w:color w:val="000000"/>
          <w:sz w:val="22"/>
          <w:szCs w:val="22"/>
        </w:rPr>
        <w:t>this</w:t>
      </w:r>
      <w:r w:rsidRPr="00E90F29">
        <w:rPr>
          <w:rFonts w:ascii="Arial" w:hAnsi="Arial" w:cs="Arial"/>
          <w:color w:val="000000"/>
          <w:sz w:val="22"/>
          <w:szCs w:val="22"/>
        </w:rPr>
        <w:t xml:space="preserve"> guarantee was relevant to protecting individuals </w:t>
      </w:r>
      <w:r w:rsidR="005B3A53" w:rsidRPr="00E90F29">
        <w:rPr>
          <w:rFonts w:ascii="Arial" w:hAnsi="Arial" w:cs="Arial"/>
          <w:color w:val="000000"/>
          <w:sz w:val="22"/>
          <w:szCs w:val="22"/>
        </w:rPr>
        <w:t>from allegations by the authorities  that they committed criminal acts where they were not themselves defendants in a criminal case:</w:t>
      </w:r>
    </w:p>
    <w:p w14:paraId="5604E6D7" w14:textId="77777777" w:rsidR="002375C6" w:rsidRPr="00E90F29" w:rsidRDefault="002375C6" w:rsidP="00E90F29">
      <w:pPr>
        <w:spacing w:line="360" w:lineRule="auto"/>
        <w:jc w:val="both"/>
        <w:rPr>
          <w:rFonts w:ascii="Arial" w:hAnsi="Arial" w:cs="Arial"/>
          <w:color w:val="000000"/>
          <w:sz w:val="22"/>
          <w:szCs w:val="22"/>
        </w:rPr>
      </w:pPr>
    </w:p>
    <w:p w14:paraId="6C555D3D" w14:textId="652E59F3" w:rsidR="002375C6" w:rsidRPr="00E90F29" w:rsidRDefault="002375C6" w:rsidP="00E90F29">
      <w:pPr>
        <w:spacing w:line="360" w:lineRule="auto"/>
        <w:ind w:left="567"/>
        <w:jc w:val="both"/>
        <w:rPr>
          <w:rFonts w:ascii="Arial" w:hAnsi="Arial" w:cs="Arial"/>
          <w:color w:val="000000"/>
          <w:sz w:val="22"/>
          <w:szCs w:val="22"/>
        </w:rPr>
      </w:pPr>
      <w:r w:rsidRPr="00E90F29">
        <w:rPr>
          <w:rFonts w:ascii="Arial" w:hAnsi="Arial" w:cs="Arial"/>
          <w:color w:val="000000"/>
          <w:sz w:val="22"/>
          <w:szCs w:val="22"/>
        </w:rPr>
        <w:t xml:space="preserve">“In the present case, it was implied in the indictment that the complainant participated in an </w:t>
      </w:r>
      <w:proofErr w:type="spellStart"/>
      <w:r w:rsidRPr="00E90F29">
        <w:rPr>
          <w:rFonts w:ascii="Arial" w:hAnsi="Arial" w:cs="Arial"/>
          <w:color w:val="000000"/>
          <w:sz w:val="22"/>
          <w:szCs w:val="22"/>
        </w:rPr>
        <w:t>organised</w:t>
      </w:r>
      <w:proofErr w:type="spellEnd"/>
      <w:r w:rsidRPr="00E90F29">
        <w:rPr>
          <w:rFonts w:ascii="Arial" w:hAnsi="Arial" w:cs="Arial"/>
          <w:color w:val="000000"/>
          <w:sz w:val="22"/>
          <w:szCs w:val="22"/>
        </w:rPr>
        <w:t xml:space="preserve"> crime group in order to murder a “rival crime boss” which constitutes a serious criminal offence (see par. 9 above). A statement couched is such terms made in an official indictment seems to amount to an affirmation that the complainant did commit the crimes concerned, although he is not indicted in the criminal proceedings in question (even if he was arrested in Bosnia and Herzegovina in relation to a different criminal offence). Elsewhere, it has been implied that the complainant’s wife had been “in a relationship” with the victim before she had married the complainant (see par. 9 above). Revealing intimate aspects of the complainant’s and his wife’s private life, whether true or false, also amount to an interference with the complainant’s right to respect to his private life.”</w:t>
      </w:r>
      <w:r w:rsidRPr="00E90F29">
        <w:rPr>
          <w:rStyle w:val="FootnoteReference"/>
          <w:rFonts w:ascii="Arial" w:hAnsi="Arial" w:cs="Arial"/>
          <w:color w:val="000000"/>
          <w:sz w:val="22"/>
          <w:szCs w:val="22"/>
        </w:rPr>
        <w:footnoteReference w:id="60"/>
      </w:r>
    </w:p>
    <w:p w14:paraId="4358E2D9" w14:textId="5747249E" w:rsidR="00883EB0" w:rsidRPr="00E90F29" w:rsidRDefault="00883EB0" w:rsidP="00E90F29">
      <w:pPr>
        <w:spacing w:line="360" w:lineRule="auto"/>
        <w:jc w:val="both"/>
        <w:rPr>
          <w:rFonts w:ascii="Arial" w:hAnsi="Arial" w:cs="Arial"/>
          <w:sz w:val="22"/>
          <w:szCs w:val="22"/>
          <w:lang w:val="en-GB"/>
        </w:rPr>
      </w:pPr>
    </w:p>
    <w:p w14:paraId="54758D70" w14:textId="19781461" w:rsidR="00883EB0" w:rsidRPr="00E90F29" w:rsidRDefault="002375C6" w:rsidP="00E90F29">
      <w:pPr>
        <w:spacing w:line="360" w:lineRule="auto"/>
        <w:jc w:val="both"/>
        <w:rPr>
          <w:rFonts w:ascii="Arial" w:hAnsi="Arial" w:cs="Arial"/>
          <w:color w:val="000000"/>
          <w:sz w:val="22"/>
          <w:szCs w:val="22"/>
        </w:rPr>
      </w:pPr>
      <w:r w:rsidRPr="00E90F29">
        <w:rPr>
          <w:rFonts w:ascii="Arial" w:hAnsi="Arial" w:cs="Arial"/>
          <w:sz w:val="22"/>
          <w:szCs w:val="22"/>
          <w:lang w:val="en-GB"/>
        </w:rPr>
        <w:t xml:space="preserve">In that case, the Panel found that the interference </w:t>
      </w:r>
      <w:r w:rsidR="005B3A53" w:rsidRPr="00E90F29">
        <w:rPr>
          <w:rFonts w:ascii="Arial" w:hAnsi="Arial" w:cs="Arial"/>
          <w:sz w:val="22"/>
          <w:szCs w:val="22"/>
          <w:lang w:val="en-GB"/>
        </w:rPr>
        <w:t xml:space="preserve">with the complainant’s protected rights </w:t>
      </w:r>
      <w:r w:rsidRPr="00E90F29">
        <w:rPr>
          <w:rFonts w:ascii="Arial" w:hAnsi="Arial" w:cs="Arial"/>
          <w:sz w:val="22"/>
          <w:szCs w:val="22"/>
          <w:lang w:val="en-GB"/>
        </w:rPr>
        <w:t xml:space="preserve">had </w:t>
      </w:r>
      <w:r w:rsidR="005B3A53" w:rsidRPr="00E90F29">
        <w:rPr>
          <w:rFonts w:ascii="Arial" w:hAnsi="Arial" w:cs="Arial"/>
          <w:sz w:val="22"/>
          <w:szCs w:val="22"/>
          <w:lang w:val="en-GB"/>
        </w:rPr>
        <w:t xml:space="preserve">been </w:t>
      </w:r>
      <w:r w:rsidRPr="00E90F29">
        <w:rPr>
          <w:rFonts w:ascii="Arial" w:hAnsi="Arial" w:cs="Arial"/>
          <w:sz w:val="22"/>
          <w:szCs w:val="22"/>
          <w:lang w:val="en-GB"/>
        </w:rPr>
        <w:t xml:space="preserve">taken “in accordance with the law” and pursued a legitimate aim </w:t>
      </w:r>
      <w:r w:rsidRPr="00E90F29">
        <w:rPr>
          <w:rFonts w:ascii="Arial" w:hAnsi="Arial" w:cs="Arial"/>
          <w:color w:val="000000"/>
          <w:sz w:val="22"/>
          <w:szCs w:val="22"/>
        </w:rPr>
        <w:t>enumerated i</w:t>
      </w:r>
      <w:r w:rsidR="005B3A53" w:rsidRPr="00E90F29">
        <w:rPr>
          <w:rFonts w:ascii="Arial" w:hAnsi="Arial" w:cs="Arial"/>
          <w:color w:val="000000"/>
          <w:sz w:val="22"/>
          <w:szCs w:val="22"/>
        </w:rPr>
        <w:t>n Article 8(</w:t>
      </w:r>
      <w:r w:rsidRPr="00E90F29">
        <w:rPr>
          <w:rFonts w:ascii="Arial" w:hAnsi="Arial" w:cs="Arial"/>
          <w:color w:val="000000"/>
          <w:sz w:val="22"/>
          <w:szCs w:val="22"/>
        </w:rPr>
        <w:t>2</w:t>
      </w:r>
      <w:r w:rsidR="005B3A53" w:rsidRPr="00E90F29">
        <w:rPr>
          <w:rFonts w:ascii="Arial" w:hAnsi="Arial" w:cs="Arial"/>
          <w:color w:val="000000"/>
          <w:sz w:val="22"/>
          <w:szCs w:val="22"/>
        </w:rPr>
        <w:t>)</w:t>
      </w:r>
      <w:r w:rsidRPr="00E90F29">
        <w:rPr>
          <w:rFonts w:ascii="Arial" w:hAnsi="Arial" w:cs="Arial"/>
          <w:color w:val="000000"/>
          <w:sz w:val="22"/>
          <w:szCs w:val="22"/>
        </w:rPr>
        <w:t>, notably the prevention of disorder or crime. However, when evaluating whether the interference served a legitimate aim and whether it struck a “fair balance” between the demands of the general interest of the community and the requirements of the protection of the individual’s fundamental rights,</w:t>
      </w:r>
      <w:r w:rsidRPr="00E90F29">
        <w:rPr>
          <w:rStyle w:val="FootnoteReference"/>
          <w:rFonts w:ascii="Arial" w:hAnsi="Arial" w:cs="Arial"/>
          <w:color w:val="000000"/>
          <w:sz w:val="22"/>
          <w:szCs w:val="22"/>
        </w:rPr>
        <w:footnoteReference w:id="61"/>
      </w:r>
      <w:r w:rsidRPr="00E90F29">
        <w:rPr>
          <w:rFonts w:ascii="Arial" w:hAnsi="Arial" w:cs="Arial"/>
          <w:color w:val="000000"/>
          <w:sz w:val="22"/>
          <w:szCs w:val="22"/>
        </w:rPr>
        <w:t xml:space="preserve"> the Panel came to the v</w:t>
      </w:r>
      <w:r w:rsidR="005B3A53" w:rsidRPr="00E90F29">
        <w:rPr>
          <w:rFonts w:ascii="Arial" w:hAnsi="Arial" w:cs="Arial"/>
          <w:color w:val="000000"/>
          <w:sz w:val="22"/>
          <w:szCs w:val="22"/>
        </w:rPr>
        <w:t xml:space="preserve">iew that this was not the case and laid out its reasons for that view </w:t>
      </w:r>
      <w:r w:rsidR="005B3A53" w:rsidRPr="00E90F29">
        <w:rPr>
          <w:rFonts w:ascii="Arial" w:hAnsi="Arial" w:cs="Arial"/>
          <w:i/>
          <w:color w:val="000000"/>
          <w:sz w:val="22"/>
          <w:szCs w:val="22"/>
        </w:rPr>
        <w:t xml:space="preserve">in </w:t>
      </w:r>
      <w:proofErr w:type="spellStart"/>
      <w:r w:rsidR="005B3A53" w:rsidRPr="00E90F29">
        <w:rPr>
          <w:rFonts w:ascii="Arial" w:hAnsi="Arial" w:cs="Arial"/>
          <w:i/>
          <w:color w:val="000000"/>
          <w:sz w:val="22"/>
          <w:szCs w:val="22"/>
        </w:rPr>
        <w:t>extensu</w:t>
      </w:r>
      <w:proofErr w:type="spellEnd"/>
      <w:r w:rsidR="005B3A53" w:rsidRPr="00E90F29">
        <w:rPr>
          <w:rFonts w:ascii="Arial" w:hAnsi="Arial" w:cs="Arial"/>
          <w:color w:val="000000"/>
          <w:sz w:val="22"/>
          <w:szCs w:val="22"/>
        </w:rPr>
        <w:t>:</w:t>
      </w:r>
    </w:p>
    <w:p w14:paraId="7ECE2BDC" w14:textId="77777777" w:rsidR="002375C6" w:rsidRPr="00E90F29" w:rsidRDefault="002375C6" w:rsidP="00E90F29">
      <w:pPr>
        <w:spacing w:line="360" w:lineRule="auto"/>
        <w:jc w:val="both"/>
        <w:rPr>
          <w:rFonts w:ascii="Arial" w:hAnsi="Arial" w:cs="Arial"/>
          <w:color w:val="000000"/>
          <w:sz w:val="22"/>
          <w:szCs w:val="22"/>
        </w:rPr>
      </w:pPr>
    </w:p>
    <w:p w14:paraId="24D2756D" w14:textId="2FDA983E" w:rsidR="002375C6" w:rsidRPr="00E90F29" w:rsidRDefault="002375C6" w:rsidP="00E90F29">
      <w:pPr>
        <w:spacing w:line="360" w:lineRule="auto"/>
        <w:ind w:left="567"/>
        <w:jc w:val="both"/>
        <w:rPr>
          <w:rFonts w:ascii="Arial" w:hAnsi="Arial" w:cs="Arial"/>
          <w:color w:val="000000"/>
          <w:sz w:val="22"/>
          <w:szCs w:val="22"/>
        </w:rPr>
      </w:pPr>
      <w:r w:rsidRPr="00E90F29">
        <w:rPr>
          <w:rFonts w:ascii="Arial" w:hAnsi="Arial" w:cs="Arial"/>
          <w:color w:val="000000"/>
          <w:sz w:val="22"/>
          <w:szCs w:val="22"/>
        </w:rPr>
        <w:t>“The question remains, therefore, whether a fair balance has been struck between the competing public and private interests in this case.</w:t>
      </w:r>
      <w:r w:rsidRPr="00E90F29">
        <w:rPr>
          <w:rFonts w:ascii="Arial" w:hAnsi="Arial" w:cs="Arial"/>
          <w:sz w:val="22"/>
          <w:szCs w:val="22"/>
        </w:rPr>
        <w:t xml:space="preserve"> In his submissions, the </w:t>
      </w:r>
      <w:proofErr w:type="spellStart"/>
      <w:r w:rsidRPr="00E90F29">
        <w:rPr>
          <w:rFonts w:ascii="Arial" w:hAnsi="Arial" w:cs="Arial"/>
          <w:sz w:val="22"/>
          <w:szCs w:val="22"/>
        </w:rPr>
        <w:t>HoM</w:t>
      </w:r>
      <w:proofErr w:type="spellEnd"/>
      <w:r w:rsidRPr="00E90F29">
        <w:rPr>
          <w:rFonts w:ascii="Arial" w:hAnsi="Arial" w:cs="Arial"/>
          <w:sz w:val="22"/>
          <w:szCs w:val="22"/>
        </w:rPr>
        <w:t xml:space="preserve"> argued that naming the complainant in the indictment was </w:t>
      </w:r>
      <w:r w:rsidRPr="00E90F29">
        <w:rPr>
          <w:rFonts w:ascii="Arial" w:hAnsi="Arial" w:cs="Arial"/>
          <w:sz w:val="22"/>
          <w:szCs w:val="22"/>
        </w:rPr>
        <w:lastRenderedPageBreak/>
        <w:t xml:space="preserve">indispensable to present the Basic Court with all the facts and to mount an effective prosecution of N.K. The Panel is not persuaded by those arguments. </w:t>
      </w:r>
      <w:r w:rsidRPr="00E90F29">
        <w:rPr>
          <w:rFonts w:ascii="Arial" w:hAnsi="Arial" w:cs="Arial"/>
          <w:color w:val="000000"/>
          <w:sz w:val="22"/>
          <w:szCs w:val="22"/>
        </w:rPr>
        <w:t xml:space="preserve">The Panel acknowledges that it might have been impossible to indict N.K. of </w:t>
      </w:r>
      <w:proofErr w:type="spellStart"/>
      <w:r w:rsidRPr="00E90F29">
        <w:rPr>
          <w:rFonts w:ascii="Arial" w:hAnsi="Arial" w:cs="Arial"/>
          <w:color w:val="000000"/>
          <w:sz w:val="22"/>
          <w:szCs w:val="22"/>
        </w:rPr>
        <w:t>organised</w:t>
      </w:r>
      <w:proofErr w:type="spellEnd"/>
      <w:r w:rsidRPr="00E90F29">
        <w:rPr>
          <w:rFonts w:ascii="Arial" w:hAnsi="Arial" w:cs="Arial"/>
          <w:color w:val="000000"/>
          <w:sz w:val="22"/>
          <w:szCs w:val="22"/>
        </w:rPr>
        <w:t xml:space="preserve"> crime and argue the case against him without referring to other persons involved. Nonetheless, from the wording of the indictment it appears that, without it serving any purpose in the case against N.K., the Prosecutor made an assertion of fact that the complainant had committed a serious crime. Nowhere in the indictment is it made clear that the complainant is not, in fact, a suspect and that no criminal proceedings are pending against him. To the contrary, he is called in no uncertain terms a “co-perpetrator” and a “gang boss” (see paragraph 9 above). These statements, in the Panel’s view, go much further than describing a mere state of suspicion.  </w:t>
      </w:r>
    </w:p>
    <w:p w14:paraId="5B28CEB3" w14:textId="3F1F09C5" w:rsidR="002375C6" w:rsidRPr="00E90F29" w:rsidRDefault="002375C6" w:rsidP="00E90F29">
      <w:pPr>
        <w:spacing w:line="360" w:lineRule="auto"/>
        <w:ind w:left="567"/>
        <w:jc w:val="both"/>
        <w:rPr>
          <w:rFonts w:ascii="Arial" w:hAnsi="Arial" w:cs="Arial"/>
          <w:color w:val="000000"/>
          <w:sz w:val="22"/>
          <w:szCs w:val="22"/>
        </w:rPr>
      </w:pPr>
      <w:r w:rsidRPr="00E90F29">
        <w:rPr>
          <w:rFonts w:ascii="Arial" w:hAnsi="Arial" w:cs="Arial"/>
          <w:color w:val="000000"/>
          <w:sz w:val="22"/>
          <w:szCs w:val="22"/>
        </w:rPr>
        <w:t xml:space="preserve">50. </w:t>
      </w:r>
      <w:r w:rsidRPr="00E90F29">
        <w:rPr>
          <w:rFonts w:ascii="Arial" w:hAnsi="Arial" w:cs="Arial"/>
          <w:color w:val="000000"/>
          <w:sz w:val="22"/>
          <w:szCs w:val="22"/>
        </w:rPr>
        <w:tab/>
        <w:t xml:space="preserve">The Basic Court of Pristina also pointed it out in its order of 4 December 2014, when it stated that “the indictment formulated by the Prosecutor can easily be understood in a way that he is at least accused in the case” (see par. 15 above). Furthermore, the Panel observes that there seems to be no reason why the complainant and other alleged “co-perpetrators” should be mentioned by name at this stage of the proceedings and why it did not suffice to refer to them in more general terms (for instance “other persons”) or using their initials. </w:t>
      </w:r>
    </w:p>
    <w:p w14:paraId="423F24CF" w14:textId="5360DF5B" w:rsidR="002375C6" w:rsidRPr="00E90F29" w:rsidRDefault="002375C6" w:rsidP="00E90F29">
      <w:pPr>
        <w:spacing w:line="360" w:lineRule="auto"/>
        <w:ind w:left="567"/>
        <w:jc w:val="both"/>
        <w:rPr>
          <w:rFonts w:ascii="Arial" w:hAnsi="Arial" w:cs="Arial"/>
          <w:color w:val="000000"/>
          <w:sz w:val="22"/>
          <w:szCs w:val="22"/>
        </w:rPr>
      </w:pPr>
      <w:r w:rsidRPr="00E90F29">
        <w:rPr>
          <w:rFonts w:ascii="Arial" w:hAnsi="Arial" w:cs="Arial"/>
          <w:color w:val="000000"/>
          <w:sz w:val="22"/>
          <w:szCs w:val="22"/>
        </w:rPr>
        <w:t>51.</w:t>
      </w:r>
      <w:r w:rsidRPr="00E90F29">
        <w:rPr>
          <w:rFonts w:ascii="Arial" w:hAnsi="Arial" w:cs="Arial"/>
          <w:color w:val="000000"/>
          <w:sz w:val="22"/>
          <w:szCs w:val="22"/>
        </w:rPr>
        <w:tab/>
        <w:t xml:space="preserve">Likewise, the Panel sees no cogent reasons why invoking the complainant’s wife’s personal life as an alleged reason for his “hate” towards the victim would have any material relevance to the case against N.K. </w:t>
      </w:r>
    </w:p>
    <w:p w14:paraId="7CB51BFB" w14:textId="46658152" w:rsidR="002375C6" w:rsidRPr="00E90F29" w:rsidRDefault="002375C6" w:rsidP="00E90F29">
      <w:pPr>
        <w:spacing w:line="360" w:lineRule="auto"/>
        <w:ind w:left="567"/>
        <w:jc w:val="both"/>
        <w:rPr>
          <w:rFonts w:ascii="Arial" w:hAnsi="Arial" w:cs="Arial"/>
          <w:color w:val="000000"/>
          <w:sz w:val="22"/>
          <w:szCs w:val="22"/>
        </w:rPr>
      </w:pPr>
      <w:r w:rsidRPr="00E90F29">
        <w:rPr>
          <w:rFonts w:ascii="Arial" w:hAnsi="Arial" w:cs="Arial"/>
          <w:color w:val="000000"/>
          <w:sz w:val="22"/>
          <w:szCs w:val="22"/>
        </w:rPr>
        <w:t xml:space="preserve">52. </w:t>
      </w:r>
      <w:r w:rsidRPr="00E90F29">
        <w:rPr>
          <w:rFonts w:ascii="Arial" w:hAnsi="Arial" w:cs="Arial"/>
          <w:color w:val="000000"/>
          <w:sz w:val="22"/>
          <w:szCs w:val="22"/>
        </w:rPr>
        <w:tab/>
        <w:t xml:space="preserve">On the whole, no arguments have been adduced to show that the case of prosecution against N.K. could not be mounted effectively with the description of the facts presenting the complainant’s alleged involvement in the offences in which N.K,. was believed to be involved in a more nuanced manner. </w:t>
      </w:r>
    </w:p>
    <w:p w14:paraId="40D76734" w14:textId="24C6A262" w:rsidR="002375C6" w:rsidRPr="00E90F29" w:rsidRDefault="002375C6" w:rsidP="00E90F29">
      <w:pPr>
        <w:spacing w:line="360" w:lineRule="auto"/>
        <w:ind w:left="567"/>
        <w:jc w:val="both"/>
        <w:rPr>
          <w:rFonts w:ascii="Arial" w:hAnsi="Arial" w:cs="Arial"/>
          <w:color w:val="000000"/>
          <w:sz w:val="22"/>
          <w:szCs w:val="22"/>
        </w:rPr>
      </w:pPr>
      <w:r w:rsidRPr="00E90F29">
        <w:rPr>
          <w:rFonts w:ascii="Arial" w:hAnsi="Arial" w:cs="Arial"/>
          <w:color w:val="000000"/>
          <w:sz w:val="22"/>
          <w:szCs w:val="22"/>
        </w:rPr>
        <w:t>53.</w:t>
      </w:r>
      <w:r w:rsidRPr="00E90F29">
        <w:rPr>
          <w:rFonts w:ascii="Arial" w:hAnsi="Arial" w:cs="Arial"/>
          <w:color w:val="000000"/>
          <w:sz w:val="22"/>
          <w:szCs w:val="22"/>
        </w:rPr>
        <w:tab/>
        <w:t xml:space="preserve">The Panel observes that the above portrayal of the complainant in an authoritative prosecutorial act, in a manner which indicated rather certainty than possibility or suspicion on the prosecution’s part, was </w:t>
      </w:r>
      <w:proofErr w:type="spellStart"/>
      <w:r w:rsidRPr="00E90F29">
        <w:rPr>
          <w:rFonts w:ascii="Arial" w:hAnsi="Arial" w:cs="Arial"/>
          <w:color w:val="000000"/>
          <w:sz w:val="22"/>
          <w:szCs w:val="22"/>
        </w:rPr>
        <w:t>was</w:t>
      </w:r>
      <w:proofErr w:type="spellEnd"/>
      <w:r w:rsidRPr="00E90F29">
        <w:rPr>
          <w:rFonts w:ascii="Arial" w:hAnsi="Arial" w:cs="Arial"/>
          <w:color w:val="000000"/>
          <w:sz w:val="22"/>
          <w:szCs w:val="22"/>
        </w:rPr>
        <w:t xml:space="preserve"> capable of stigmatizing him and of having a major impact on his personal life and reputation.</w:t>
      </w:r>
    </w:p>
    <w:p w14:paraId="487689C6" w14:textId="0A6EB1EE" w:rsidR="002375C6" w:rsidRPr="00E90F29" w:rsidRDefault="002375C6" w:rsidP="00E90F29">
      <w:pPr>
        <w:spacing w:line="360" w:lineRule="auto"/>
        <w:ind w:left="567"/>
        <w:jc w:val="both"/>
        <w:rPr>
          <w:rFonts w:ascii="Arial" w:hAnsi="Arial" w:cs="Arial"/>
          <w:snapToGrid w:val="0"/>
          <w:sz w:val="22"/>
          <w:szCs w:val="22"/>
        </w:rPr>
      </w:pPr>
      <w:r w:rsidRPr="00E90F29">
        <w:rPr>
          <w:rFonts w:ascii="Arial" w:hAnsi="Arial" w:cs="Arial"/>
          <w:color w:val="000000"/>
          <w:sz w:val="22"/>
          <w:szCs w:val="22"/>
        </w:rPr>
        <w:t xml:space="preserve">54. </w:t>
      </w:r>
      <w:r w:rsidRPr="00E90F29">
        <w:rPr>
          <w:rFonts w:ascii="Arial" w:hAnsi="Arial" w:cs="Arial"/>
          <w:color w:val="000000"/>
          <w:sz w:val="22"/>
          <w:szCs w:val="22"/>
        </w:rPr>
        <w:tab/>
        <w:t>In the light of the above, the Panel finds that the interference with the complainant's right to respect for his private life was not sufficiently justified in the circumstances and, as such, was disproportionate to the legitimate aims pursued. Accordingly, it gave rise to a violation of Article 8 of the Convention.”</w:t>
      </w:r>
    </w:p>
    <w:p w14:paraId="4675837E" w14:textId="321683FE" w:rsidR="002375C6" w:rsidRPr="00E90F29" w:rsidRDefault="002375C6" w:rsidP="00E90F29">
      <w:pPr>
        <w:spacing w:line="360" w:lineRule="auto"/>
        <w:jc w:val="both"/>
        <w:rPr>
          <w:rFonts w:ascii="Arial" w:hAnsi="Arial" w:cs="Arial"/>
          <w:color w:val="000000"/>
          <w:sz w:val="22"/>
          <w:szCs w:val="22"/>
        </w:rPr>
      </w:pPr>
    </w:p>
    <w:p w14:paraId="3CBFF7A0" w14:textId="5293E017" w:rsidR="00883EB0" w:rsidRPr="00E90F29" w:rsidRDefault="00FA5A7A" w:rsidP="00E90F29">
      <w:pPr>
        <w:pStyle w:val="Heading3"/>
      </w:pPr>
      <w:bookmarkStart w:id="34" w:name="_Toc513713976"/>
      <w:r w:rsidRPr="00E90F29">
        <w:rPr>
          <w:color w:val="000000"/>
        </w:rPr>
        <w:t xml:space="preserve">3.6.6 </w:t>
      </w:r>
      <w:r w:rsidR="00883EB0" w:rsidRPr="00E90F29">
        <w:t xml:space="preserve">Protection of witnesses </w:t>
      </w:r>
      <w:r w:rsidR="009B135D" w:rsidRPr="00E90F29">
        <w:t>and disclosure of information</w:t>
      </w:r>
      <w:bookmarkEnd w:id="34"/>
      <w:r w:rsidR="009B135D" w:rsidRPr="00E90F29">
        <w:t xml:space="preserve"> </w:t>
      </w:r>
    </w:p>
    <w:p w14:paraId="0C4F962C" w14:textId="470A9264" w:rsidR="009B135D" w:rsidRPr="00E90F29" w:rsidRDefault="009B135D" w:rsidP="00E90F29">
      <w:pPr>
        <w:spacing w:line="360" w:lineRule="auto"/>
        <w:jc w:val="both"/>
        <w:rPr>
          <w:rFonts w:ascii="Arial" w:hAnsi="Arial" w:cs="Arial"/>
          <w:sz w:val="22"/>
          <w:szCs w:val="22"/>
          <w:lang w:val="en-GB"/>
        </w:rPr>
      </w:pPr>
      <w:r w:rsidRPr="00E90F29">
        <w:rPr>
          <w:rFonts w:ascii="Arial" w:hAnsi="Arial" w:cs="Arial"/>
          <w:sz w:val="22"/>
          <w:szCs w:val="22"/>
          <w:lang w:val="en-GB"/>
        </w:rPr>
        <w:lastRenderedPageBreak/>
        <w:t xml:space="preserve">In the case of </w:t>
      </w:r>
      <w:r w:rsidRPr="00E90F29">
        <w:rPr>
          <w:rFonts w:ascii="Arial" w:hAnsi="Arial" w:cs="Arial"/>
          <w:i/>
          <w:sz w:val="22"/>
          <w:szCs w:val="22"/>
          <w:lang w:val="en-GB"/>
        </w:rPr>
        <w:t>W against EULEX</w:t>
      </w:r>
      <w:r w:rsidRPr="00E90F29">
        <w:rPr>
          <w:rFonts w:ascii="Arial" w:hAnsi="Arial" w:cs="Arial"/>
          <w:sz w:val="22"/>
          <w:szCs w:val="22"/>
          <w:lang w:val="en-GB"/>
        </w:rPr>
        <w:t>, t</w:t>
      </w:r>
      <w:r w:rsidR="00C67D54" w:rsidRPr="00E90F29">
        <w:rPr>
          <w:rFonts w:ascii="Arial" w:hAnsi="Arial" w:cs="Arial"/>
          <w:sz w:val="22"/>
          <w:szCs w:val="22"/>
          <w:lang w:val="en-GB"/>
        </w:rPr>
        <w:t>he complainant alleged</w:t>
      </w:r>
      <w:r w:rsidRPr="00E90F29">
        <w:rPr>
          <w:rFonts w:ascii="Arial" w:hAnsi="Arial" w:cs="Arial"/>
          <w:sz w:val="22"/>
          <w:szCs w:val="22"/>
          <w:lang w:val="en-GB"/>
        </w:rPr>
        <w:t xml:space="preserve"> that his witness statement (in a serious criminal case) and personal details </w:t>
      </w:r>
      <w:r w:rsidR="00C67D54" w:rsidRPr="00E90F29">
        <w:rPr>
          <w:rFonts w:ascii="Arial" w:hAnsi="Arial" w:cs="Arial"/>
          <w:sz w:val="22"/>
          <w:szCs w:val="22"/>
          <w:lang w:val="en-GB"/>
        </w:rPr>
        <w:t>had been</w:t>
      </w:r>
      <w:r w:rsidRPr="00E90F29">
        <w:rPr>
          <w:rFonts w:ascii="Arial" w:hAnsi="Arial" w:cs="Arial"/>
          <w:sz w:val="22"/>
          <w:szCs w:val="22"/>
          <w:lang w:val="en-GB"/>
        </w:rPr>
        <w:t xml:space="preserve"> disclosed to the Serbian </w:t>
      </w:r>
      <w:r w:rsidR="00C67D54" w:rsidRPr="00E90F29">
        <w:rPr>
          <w:rFonts w:ascii="Arial" w:hAnsi="Arial" w:cs="Arial"/>
          <w:sz w:val="22"/>
          <w:szCs w:val="22"/>
          <w:lang w:val="en-GB"/>
        </w:rPr>
        <w:t>authorities without his consent. T</w:t>
      </w:r>
      <w:r w:rsidRPr="00E90F29">
        <w:rPr>
          <w:rFonts w:ascii="Arial" w:hAnsi="Arial" w:cs="Arial"/>
          <w:sz w:val="22"/>
          <w:szCs w:val="22"/>
          <w:lang w:val="en-GB"/>
        </w:rPr>
        <w:t xml:space="preserve">he Panel </w:t>
      </w:r>
      <w:r w:rsidR="00C67D54" w:rsidRPr="00E90F29">
        <w:rPr>
          <w:rFonts w:ascii="Arial" w:hAnsi="Arial" w:cs="Arial"/>
          <w:sz w:val="22"/>
          <w:szCs w:val="22"/>
          <w:lang w:val="en-GB"/>
        </w:rPr>
        <w:t>found</w:t>
      </w:r>
      <w:r w:rsidRPr="00E90F29">
        <w:rPr>
          <w:rFonts w:ascii="Arial" w:hAnsi="Arial" w:cs="Arial"/>
          <w:sz w:val="22"/>
          <w:szCs w:val="22"/>
          <w:lang w:val="en-GB"/>
        </w:rPr>
        <w:t xml:space="preserve"> that the collection and use of information by officials about an individual without </w:t>
      </w:r>
      <w:r w:rsidR="00C67D54" w:rsidRPr="00E90F29">
        <w:rPr>
          <w:rFonts w:ascii="Arial" w:hAnsi="Arial" w:cs="Arial"/>
          <w:sz w:val="22"/>
          <w:szCs w:val="22"/>
          <w:lang w:val="en-GB"/>
        </w:rPr>
        <w:t>prior</w:t>
      </w:r>
      <w:r w:rsidRPr="00E90F29">
        <w:rPr>
          <w:rFonts w:ascii="Arial" w:hAnsi="Arial" w:cs="Arial"/>
          <w:sz w:val="22"/>
          <w:szCs w:val="22"/>
          <w:lang w:val="en-GB"/>
        </w:rPr>
        <w:t xml:space="preserve"> consent </w:t>
      </w:r>
      <w:r w:rsidR="00C67D54" w:rsidRPr="00E90F29">
        <w:rPr>
          <w:rFonts w:ascii="Arial" w:hAnsi="Arial" w:cs="Arial"/>
          <w:sz w:val="22"/>
          <w:szCs w:val="22"/>
          <w:lang w:val="en-GB"/>
        </w:rPr>
        <w:t>could</w:t>
      </w:r>
      <w:r w:rsidRPr="00E90F29">
        <w:rPr>
          <w:rFonts w:ascii="Arial" w:hAnsi="Arial" w:cs="Arial"/>
          <w:sz w:val="22"/>
          <w:szCs w:val="22"/>
          <w:lang w:val="en-GB"/>
        </w:rPr>
        <w:t xml:space="preserve"> interfere with his right to respect for his private life as guaranteed under Article 8 of the Convention.</w:t>
      </w:r>
      <w:r w:rsidRPr="00E90F29">
        <w:rPr>
          <w:rStyle w:val="FootnoteReference"/>
          <w:rFonts w:ascii="Arial" w:hAnsi="Arial" w:cs="Arial"/>
          <w:sz w:val="22"/>
          <w:szCs w:val="22"/>
          <w:lang w:val="en-GB"/>
        </w:rPr>
        <w:footnoteReference w:id="62"/>
      </w:r>
      <w:r w:rsidRPr="00E90F29">
        <w:rPr>
          <w:rFonts w:ascii="Arial" w:hAnsi="Arial" w:cs="Arial"/>
          <w:sz w:val="22"/>
          <w:szCs w:val="22"/>
          <w:lang w:val="en-GB"/>
        </w:rPr>
        <w:t xml:space="preserve"> Consistent with the general standard applicable to the restriction of that right, the Panel said</w:t>
      </w:r>
      <w:r w:rsidR="00C67D54" w:rsidRPr="00E90F29">
        <w:rPr>
          <w:rFonts w:ascii="Arial" w:hAnsi="Arial" w:cs="Arial"/>
          <w:sz w:val="22"/>
          <w:szCs w:val="22"/>
          <w:lang w:val="en-GB"/>
        </w:rPr>
        <w:t xml:space="preserve"> further</w:t>
      </w:r>
      <w:r w:rsidRPr="00E90F29">
        <w:rPr>
          <w:rFonts w:ascii="Arial" w:hAnsi="Arial" w:cs="Arial"/>
          <w:sz w:val="22"/>
          <w:szCs w:val="22"/>
          <w:lang w:val="en-GB"/>
        </w:rPr>
        <w:t xml:space="preserve"> that such an interference will contravene Article 8 unless it is “in accordance with the law”, pursues one or more of the legitimate aims referred to in paragraph 2 of Article 8 and furthermore is “necessary in a democratic society” in order to achieve them.</w:t>
      </w:r>
      <w:r w:rsidRPr="00E90F29">
        <w:rPr>
          <w:rStyle w:val="FootnoteReference"/>
          <w:rFonts w:ascii="Arial" w:hAnsi="Arial" w:cs="Arial"/>
          <w:sz w:val="22"/>
          <w:szCs w:val="22"/>
          <w:lang w:val="en-GB"/>
        </w:rPr>
        <w:footnoteReference w:id="63"/>
      </w:r>
      <w:r w:rsidRPr="00E90F29">
        <w:rPr>
          <w:rFonts w:ascii="Arial" w:hAnsi="Arial" w:cs="Arial"/>
          <w:sz w:val="22"/>
          <w:szCs w:val="22"/>
          <w:lang w:val="en-GB"/>
        </w:rPr>
        <w:t xml:space="preserve"> In this particular case, the Panel found that the right of the complainant had been severely violated, highlighting in particular the absence of a clear legal basis authorising the course taken</w:t>
      </w:r>
      <w:r w:rsidR="00C67D54" w:rsidRPr="00E90F29">
        <w:rPr>
          <w:rFonts w:ascii="Arial" w:hAnsi="Arial" w:cs="Arial"/>
          <w:sz w:val="22"/>
          <w:szCs w:val="22"/>
          <w:lang w:val="en-GB"/>
        </w:rPr>
        <w:t xml:space="preserve"> by the Mission</w:t>
      </w:r>
      <w:r w:rsidRPr="00E90F29">
        <w:rPr>
          <w:rFonts w:ascii="Arial" w:hAnsi="Arial" w:cs="Arial"/>
          <w:sz w:val="22"/>
          <w:szCs w:val="22"/>
          <w:lang w:val="en-GB"/>
        </w:rPr>
        <w:t xml:space="preserve">, the failure of the Mission to carry out a risk assessment </w:t>
      </w:r>
      <w:r w:rsidR="00C67D54" w:rsidRPr="00E90F29">
        <w:rPr>
          <w:rFonts w:ascii="Arial" w:hAnsi="Arial" w:cs="Arial"/>
          <w:sz w:val="22"/>
          <w:szCs w:val="22"/>
          <w:lang w:val="en-GB"/>
        </w:rPr>
        <w:t xml:space="preserve">prior to taking that course </w:t>
      </w:r>
      <w:r w:rsidRPr="00E90F29">
        <w:rPr>
          <w:rFonts w:ascii="Arial" w:hAnsi="Arial" w:cs="Arial"/>
          <w:sz w:val="22"/>
          <w:szCs w:val="22"/>
          <w:lang w:val="en-GB"/>
        </w:rPr>
        <w:t>and the express request of the complainant that this information not be disclosed</w:t>
      </w:r>
      <w:r w:rsidR="00C67D54" w:rsidRPr="00E90F29">
        <w:rPr>
          <w:rFonts w:ascii="Arial" w:hAnsi="Arial" w:cs="Arial"/>
          <w:sz w:val="22"/>
          <w:szCs w:val="22"/>
          <w:lang w:val="en-GB"/>
        </w:rPr>
        <w:t xml:space="preserve"> to other authorities</w:t>
      </w:r>
      <w:r w:rsidRPr="00E90F29">
        <w:rPr>
          <w:rFonts w:ascii="Arial" w:hAnsi="Arial" w:cs="Arial"/>
          <w:sz w:val="22"/>
          <w:szCs w:val="22"/>
          <w:lang w:val="en-GB"/>
        </w:rPr>
        <w:t>.</w:t>
      </w:r>
      <w:r w:rsidRPr="00E90F29">
        <w:rPr>
          <w:rStyle w:val="FootnoteReference"/>
          <w:rFonts w:ascii="Arial" w:hAnsi="Arial" w:cs="Arial"/>
          <w:sz w:val="22"/>
          <w:szCs w:val="22"/>
          <w:lang w:val="en-GB"/>
        </w:rPr>
        <w:footnoteReference w:id="64"/>
      </w:r>
      <w:r w:rsidR="002C66DB" w:rsidRPr="00E90F29">
        <w:rPr>
          <w:rFonts w:ascii="Arial" w:hAnsi="Arial" w:cs="Arial"/>
          <w:sz w:val="22"/>
          <w:szCs w:val="22"/>
          <w:lang w:val="en-GB"/>
        </w:rPr>
        <w:t xml:space="preserve"> The Panel further made the following important findings in relation to the requirement of proportionality of the course taken</w:t>
      </w:r>
      <w:r w:rsidR="00C67D54" w:rsidRPr="00E90F29">
        <w:rPr>
          <w:rFonts w:ascii="Arial" w:hAnsi="Arial" w:cs="Arial"/>
          <w:sz w:val="22"/>
          <w:szCs w:val="22"/>
          <w:lang w:val="en-GB"/>
        </w:rPr>
        <w:t xml:space="preserve"> by the Mission</w:t>
      </w:r>
      <w:r w:rsidR="002C66DB" w:rsidRPr="00E90F29">
        <w:rPr>
          <w:rFonts w:ascii="Arial" w:hAnsi="Arial" w:cs="Arial"/>
          <w:sz w:val="22"/>
          <w:szCs w:val="22"/>
          <w:lang w:val="en-GB"/>
        </w:rPr>
        <w:t>:</w:t>
      </w:r>
      <w:r w:rsidR="00FA5A7A" w:rsidRPr="00E90F29">
        <w:rPr>
          <w:rStyle w:val="FootnoteReference"/>
          <w:rFonts w:ascii="Arial" w:hAnsi="Arial" w:cs="Arial"/>
          <w:sz w:val="22"/>
          <w:szCs w:val="22"/>
          <w:lang w:val="en-GB"/>
        </w:rPr>
        <w:footnoteReference w:id="65"/>
      </w:r>
      <w:r w:rsidR="002C66DB" w:rsidRPr="00E90F29">
        <w:rPr>
          <w:rFonts w:ascii="Arial" w:hAnsi="Arial" w:cs="Arial"/>
          <w:sz w:val="22"/>
          <w:szCs w:val="22"/>
          <w:lang w:val="en-GB"/>
        </w:rPr>
        <w:t xml:space="preserve"> </w:t>
      </w:r>
    </w:p>
    <w:p w14:paraId="353F5DBE" w14:textId="77777777" w:rsidR="002C66DB" w:rsidRPr="00E90F29" w:rsidRDefault="002C66DB" w:rsidP="00E90F29">
      <w:pPr>
        <w:spacing w:line="360" w:lineRule="auto"/>
        <w:jc w:val="both"/>
        <w:rPr>
          <w:rFonts w:ascii="Arial" w:hAnsi="Arial" w:cs="Arial"/>
          <w:sz w:val="22"/>
          <w:szCs w:val="22"/>
          <w:lang w:val="en-GB"/>
        </w:rPr>
      </w:pPr>
    </w:p>
    <w:p w14:paraId="338EDFBF" w14:textId="176DB1C6" w:rsidR="00FA5A7A" w:rsidRPr="00E90F29" w:rsidRDefault="002C66DB" w:rsidP="00E90F29">
      <w:pPr>
        <w:spacing w:line="360" w:lineRule="auto"/>
        <w:ind w:left="567"/>
        <w:jc w:val="both"/>
        <w:rPr>
          <w:rFonts w:ascii="Arial" w:hAnsi="Arial" w:cs="Arial"/>
          <w:sz w:val="22"/>
          <w:szCs w:val="22"/>
          <w:lang w:val="en-GB"/>
        </w:rPr>
      </w:pPr>
      <w:r w:rsidRPr="00E90F29">
        <w:rPr>
          <w:rFonts w:ascii="Arial" w:hAnsi="Arial" w:cs="Arial"/>
          <w:sz w:val="22"/>
          <w:szCs w:val="22"/>
          <w:lang w:val="en-GB"/>
        </w:rPr>
        <w:t>“</w:t>
      </w:r>
      <w:r w:rsidR="00FA5A7A" w:rsidRPr="00E90F29">
        <w:rPr>
          <w:rFonts w:ascii="Arial" w:hAnsi="Arial" w:cs="Arial"/>
          <w:sz w:val="22"/>
          <w:szCs w:val="22"/>
          <w:lang w:val="en-GB"/>
        </w:rPr>
        <w:t xml:space="preserve">46.The Panel will now consider whether a fair balance has been struck between the complainant’s private life interests and the legitimate aim of conducting an effective investigation into those events. According to the Court’s settled case law, the notion of necessity implies that the interference corresponds to a “pressing social need” and in particular that it is proportionate to the legitimate aim pursued (see, among many other authorities, </w:t>
      </w:r>
      <w:r w:rsidR="00FA5A7A" w:rsidRPr="00E90F29">
        <w:rPr>
          <w:rFonts w:ascii="Arial" w:hAnsi="Arial" w:cs="Arial"/>
          <w:i/>
          <w:sz w:val="22"/>
          <w:szCs w:val="22"/>
          <w:lang w:val="en-GB"/>
        </w:rPr>
        <w:t>Olsson v. Sweden</w:t>
      </w:r>
      <w:r w:rsidR="00FA5A7A" w:rsidRPr="00E90F29">
        <w:rPr>
          <w:rFonts w:ascii="Arial" w:hAnsi="Arial" w:cs="Arial"/>
          <w:sz w:val="22"/>
          <w:szCs w:val="22"/>
          <w:lang w:val="en-GB"/>
        </w:rPr>
        <w:t xml:space="preserve"> (no. 1), 24 March 1988, par. 67, Series A no. 130). The Court must accordingly ascertain whether, in the circumstances of the case, the disclosure of the complainant’s </w:t>
      </w:r>
      <w:r w:rsidR="00FA5A7A" w:rsidRPr="00E90F29">
        <w:rPr>
          <w:rFonts w:ascii="Arial" w:hAnsi="Arial" w:cs="Arial"/>
          <w:sz w:val="22"/>
          <w:szCs w:val="22"/>
          <w:lang w:val="en-GB"/>
        </w:rPr>
        <w:lastRenderedPageBreak/>
        <w:t xml:space="preserve">statement struck a fair balance between the relevant interests, namely his right to respect for his private life, on the one hand, and the prevention of disorder and crime, on the other (see, for instance, </w:t>
      </w:r>
      <w:r w:rsidR="00FA5A7A" w:rsidRPr="00E90F29">
        <w:rPr>
          <w:rFonts w:ascii="Arial" w:hAnsi="Arial" w:cs="Arial"/>
          <w:i/>
          <w:sz w:val="22"/>
          <w:szCs w:val="22"/>
          <w:lang w:val="en-GB"/>
        </w:rPr>
        <w:t>mutatis mutandis</w:t>
      </w:r>
      <w:r w:rsidR="00FA5A7A" w:rsidRPr="00E90F29">
        <w:rPr>
          <w:rFonts w:ascii="Arial" w:hAnsi="Arial" w:cs="Arial"/>
          <w:sz w:val="22"/>
          <w:szCs w:val="22"/>
          <w:lang w:val="en-GB"/>
        </w:rPr>
        <w:t xml:space="preserve">, </w:t>
      </w:r>
      <w:r w:rsidR="00FA5A7A" w:rsidRPr="00E90F29">
        <w:rPr>
          <w:rFonts w:ascii="Arial" w:hAnsi="Arial" w:cs="Arial"/>
          <w:i/>
          <w:sz w:val="22"/>
          <w:szCs w:val="22"/>
          <w:lang w:val="en-GB"/>
        </w:rPr>
        <w:t xml:space="preserve">Keegan v. Ireland, </w:t>
      </w:r>
      <w:r w:rsidR="00FA5A7A" w:rsidRPr="00E90F29">
        <w:rPr>
          <w:rFonts w:ascii="Arial" w:hAnsi="Arial" w:cs="Arial"/>
          <w:sz w:val="22"/>
          <w:szCs w:val="22"/>
          <w:lang w:val="en-GB"/>
        </w:rPr>
        <w:t>26 May 1994, par. 30, Series A no. 290).</w:t>
      </w:r>
    </w:p>
    <w:p w14:paraId="75490D21" w14:textId="6649AF8D" w:rsidR="00FA5A7A" w:rsidRPr="00E90F29" w:rsidRDefault="00FA5A7A" w:rsidP="00E90F29">
      <w:pPr>
        <w:spacing w:line="360" w:lineRule="auto"/>
        <w:ind w:left="567"/>
        <w:jc w:val="both"/>
        <w:rPr>
          <w:rFonts w:ascii="Arial" w:hAnsi="Arial" w:cs="Arial"/>
          <w:sz w:val="22"/>
          <w:szCs w:val="22"/>
          <w:lang w:val="en-GB"/>
        </w:rPr>
      </w:pPr>
      <w:r w:rsidRPr="00E90F29">
        <w:rPr>
          <w:rFonts w:ascii="Arial" w:hAnsi="Arial" w:cs="Arial"/>
          <w:sz w:val="22"/>
          <w:szCs w:val="22"/>
          <w:lang w:val="en-GB"/>
        </w:rPr>
        <w:t>47.The Panel observes in this context that it is a normal civic duty for individuals to give evidence in criminal proceedings (</w:t>
      </w:r>
      <w:proofErr w:type="spellStart"/>
      <w:r w:rsidRPr="00E90F29">
        <w:rPr>
          <w:rFonts w:ascii="Arial" w:hAnsi="Arial" w:cs="Arial"/>
          <w:i/>
          <w:sz w:val="22"/>
          <w:szCs w:val="22"/>
          <w:lang w:val="en-GB"/>
        </w:rPr>
        <w:t>Voskuil</w:t>
      </w:r>
      <w:proofErr w:type="spellEnd"/>
      <w:r w:rsidRPr="00E90F29">
        <w:rPr>
          <w:rFonts w:ascii="Arial" w:hAnsi="Arial" w:cs="Arial"/>
          <w:i/>
          <w:sz w:val="22"/>
          <w:szCs w:val="22"/>
          <w:lang w:val="en-GB"/>
        </w:rPr>
        <w:t xml:space="preserve"> v. the Netherlands</w:t>
      </w:r>
      <w:r w:rsidRPr="00E90F29">
        <w:rPr>
          <w:rFonts w:ascii="Arial" w:hAnsi="Arial" w:cs="Arial"/>
          <w:sz w:val="22"/>
          <w:szCs w:val="22"/>
          <w:lang w:val="en-GB"/>
        </w:rPr>
        <w:t xml:space="preserve"> no. 64752/01, judgment of 22 November 2007, par. 86). It also appreciates the strong interest of the international community in detecting, preventing and punishing serious crime, in particular war crimes. It is not disputed that the current trend towards strengthening cooperation in the investigation and prosecution of war crimes is, in principle, in the interests of the persons concerned (see, </w:t>
      </w:r>
      <w:r w:rsidRPr="00E90F29">
        <w:rPr>
          <w:rFonts w:ascii="Arial" w:hAnsi="Arial" w:cs="Arial"/>
          <w:i/>
          <w:sz w:val="22"/>
          <w:szCs w:val="22"/>
          <w:lang w:val="en-GB"/>
        </w:rPr>
        <w:t xml:space="preserve">mutatis mutandis, </w:t>
      </w:r>
      <w:proofErr w:type="spellStart"/>
      <w:r w:rsidRPr="00E90F29">
        <w:rPr>
          <w:rFonts w:ascii="Arial" w:hAnsi="Arial" w:cs="Arial"/>
          <w:i/>
          <w:sz w:val="22"/>
          <w:szCs w:val="22"/>
          <w:lang w:val="en-GB"/>
        </w:rPr>
        <w:t>Drozd</w:t>
      </w:r>
      <w:proofErr w:type="spellEnd"/>
      <w:r w:rsidRPr="00E90F29">
        <w:rPr>
          <w:rFonts w:ascii="Arial" w:hAnsi="Arial" w:cs="Arial"/>
          <w:i/>
          <w:sz w:val="22"/>
          <w:szCs w:val="22"/>
          <w:lang w:val="en-GB"/>
        </w:rPr>
        <w:t xml:space="preserve"> and Janousek v. France and Spain</w:t>
      </w:r>
      <w:r w:rsidRPr="00E90F29">
        <w:rPr>
          <w:rFonts w:ascii="Arial" w:hAnsi="Arial" w:cs="Arial"/>
          <w:sz w:val="22"/>
          <w:szCs w:val="22"/>
          <w:lang w:val="en-GB"/>
        </w:rPr>
        <w:t>, judgment of 26 June 1992, par. 110). However, as discussed below, the responsibility to investigate and prosecute serious crimes also entails responsibilities on the part of competent authorities to protect those who provide them with information, i.e., witnesses.</w:t>
      </w:r>
    </w:p>
    <w:p w14:paraId="549F1C13" w14:textId="31CFCDB5" w:rsidR="00FA5A7A" w:rsidRPr="00E90F29" w:rsidRDefault="00FA5A7A" w:rsidP="00E90F29">
      <w:pPr>
        <w:spacing w:line="360" w:lineRule="auto"/>
        <w:ind w:left="567"/>
        <w:jc w:val="both"/>
        <w:rPr>
          <w:rFonts w:ascii="Arial" w:hAnsi="Arial" w:cs="Arial"/>
          <w:sz w:val="22"/>
          <w:szCs w:val="22"/>
          <w:lang w:val="en-GB"/>
        </w:rPr>
      </w:pPr>
      <w:r w:rsidRPr="00E90F29">
        <w:rPr>
          <w:rFonts w:ascii="Arial" w:hAnsi="Arial" w:cs="Arial"/>
          <w:sz w:val="22"/>
          <w:szCs w:val="22"/>
          <w:lang w:val="en-GB"/>
        </w:rPr>
        <w:t>48.</w:t>
      </w:r>
      <w:r w:rsidRPr="00E90F29">
        <w:rPr>
          <w:rFonts w:ascii="Arial" w:hAnsi="Arial" w:cs="Arial"/>
          <w:sz w:val="22"/>
          <w:szCs w:val="22"/>
        </w:rPr>
        <w:t xml:space="preserve">The Explanatory Report attached to the Recommendation Rec(2005)9 of the Committee of Ministers to member states on the protection of witnesses and collaborators of justice makes it clear (par 26) that “[t]he duty to give testimony implies a corresponding duty on the state to provide measures which will foster the safety of witnesses and collaborators of justice”. Interests of witnesses are, in principle, protected by substantive provisions of the Convention, which imply that criminal proceedings should be </w:t>
      </w:r>
      <w:proofErr w:type="spellStart"/>
      <w:r w:rsidRPr="00E90F29">
        <w:rPr>
          <w:rFonts w:ascii="Arial" w:hAnsi="Arial" w:cs="Arial"/>
          <w:sz w:val="22"/>
          <w:szCs w:val="22"/>
        </w:rPr>
        <w:t>organised</w:t>
      </w:r>
      <w:proofErr w:type="spellEnd"/>
      <w:r w:rsidRPr="00E90F29">
        <w:rPr>
          <w:rFonts w:ascii="Arial" w:hAnsi="Arial" w:cs="Arial"/>
          <w:sz w:val="22"/>
          <w:szCs w:val="22"/>
        </w:rPr>
        <w:t xml:space="preserve"> in such a way that those interests are not unjustifiably imperiled. Witness’s life, liberty or security of person may be at stake. (see e.g. </w:t>
      </w:r>
      <w:proofErr w:type="spellStart"/>
      <w:r w:rsidRPr="00E90F29">
        <w:rPr>
          <w:rFonts w:ascii="Arial" w:hAnsi="Arial" w:cs="Arial"/>
          <w:i/>
          <w:sz w:val="22"/>
          <w:szCs w:val="22"/>
        </w:rPr>
        <w:t>Doorson</w:t>
      </w:r>
      <w:proofErr w:type="spellEnd"/>
      <w:r w:rsidRPr="00E90F29">
        <w:rPr>
          <w:rFonts w:ascii="Arial" w:hAnsi="Arial" w:cs="Arial"/>
          <w:i/>
          <w:sz w:val="22"/>
          <w:szCs w:val="22"/>
        </w:rPr>
        <w:t xml:space="preserve"> v. the Netherlands, </w:t>
      </w:r>
      <w:r w:rsidRPr="00E90F29">
        <w:rPr>
          <w:rFonts w:ascii="Arial" w:hAnsi="Arial" w:cs="Arial"/>
          <w:sz w:val="22"/>
          <w:szCs w:val="22"/>
        </w:rPr>
        <w:t>judgment of</w:t>
      </w:r>
      <w:r w:rsidRPr="00E90F29">
        <w:rPr>
          <w:rFonts w:ascii="Arial" w:hAnsi="Arial" w:cs="Arial"/>
          <w:i/>
          <w:sz w:val="22"/>
          <w:szCs w:val="22"/>
        </w:rPr>
        <w:t xml:space="preserve"> </w:t>
      </w:r>
      <w:r w:rsidRPr="00E90F29">
        <w:rPr>
          <w:rFonts w:ascii="Arial" w:hAnsi="Arial" w:cs="Arial"/>
          <w:sz w:val="22"/>
          <w:szCs w:val="22"/>
        </w:rPr>
        <w:t xml:space="preserve">26 March 1996 par. 70; </w:t>
      </w:r>
      <w:r w:rsidRPr="00E90F29">
        <w:rPr>
          <w:rFonts w:ascii="Arial" w:hAnsi="Arial" w:cs="Arial"/>
          <w:i/>
          <w:sz w:val="22"/>
          <w:szCs w:val="22"/>
        </w:rPr>
        <w:t>Van der Heijden v. the Netherlands</w:t>
      </w:r>
      <w:r w:rsidRPr="00E90F29">
        <w:rPr>
          <w:rFonts w:ascii="Arial" w:hAnsi="Arial" w:cs="Arial"/>
          <w:sz w:val="22"/>
          <w:szCs w:val="22"/>
        </w:rPr>
        <w:t xml:space="preserve">, judgment of 3 April 2012, par. 76). The responsibility to protect witnesses may imply a positive obligation on the part of the authorities to take measures to ensure the safety and security of witnesses although this obligation must not impose an impossible or disproportionate burden onto them (see, e.g., </w:t>
      </w:r>
      <w:r w:rsidRPr="00E90F29">
        <w:rPr>
          <w:rFonts w:ascii="Arial" w:hAnsi="Arial" w:cs="Arial"/>
          <w:i/>
          <w:sz w:val="22"/>
          <w:szCs w:val="22"/>
        </w:rPr>
        <w:t>J.L. v Latvia</w:t>
      </w:r>
      <w:r w:rsidRPr="00E90F29">
        <w:rPr>
          <w:rFonts w:ascii="Arial" w:hAnsi="Arial" w:cs="Arial"/>
          <w:sz w:val="22"/>
          <w:szCs w:val="22"/>
        </w:rPr>
        <w:t xml:space="preserve">, Application no. 23893/06, judgment of 17 April 2012, in particular, pars 68 </w:t>
      </w:r>
      <w:r w:rsidRPr="00E90F29">
        <w:rPr>
          <w:rFonts w:ascii="Arial" w:hAnsi="Arial" w:cs="Arial"/>
          <w:i/>
          <w:sz w:val="22"/>
          <w:szCs w:val="22"/>
        </w:rPr>
        <w:t>et seq</w:t>
      </w:r>
      <w:r w:rsidRPr="00E90F29">
        <w:rPr>
          <w:rFonts w:ascii="Arial" w:hAnsi="Arial" w:cs="Arial"/>
          <w:sz w:val="22"/>
          <w:szCs w:val="22"/>
        </w:rPr>
        <w:t xml:space="preserve">; </w:t>
      </w:r>
      <w:r w:rsidRPr="00E90F29">
        <w:rPr>
          <w:rFonts w:ascii="Arial" w:hAnsi="Arial" w:cs="Arial"/>
          <w:i/>
          <w:sz w:val="22"/>
          <w:szCs w:val="22"/>
        </w:rPr>
        <w:t>Van Colle v the United Kingdom</w:t>
      </w:r>
      <w:r w:rsidRPr="00E90F29">
        <w:rPr>
          <w:rFonts w:ascii="Arial" w:hAnsi="Arial" w:cs="Arial"/>
          <w:sz w:val="22"/>
          <w:szCs w:val="22"/>
        </w:rPr>
        <w:t xml:space="preserve">, Application no. 7678/09, judgment of 13 November 2012, in particular, pars 88 </w:t>
      </w:r>
      <w:r w:rsidRPr="00E90F29">
        <w:rPr>
          <w:rFonts w:ascii="Arial" w:hAnsi="Arial" w:cs="Arial"/>
          <w:i/>
          <w:sz w:val="22"/>
          <w:szCs w:val="22"/>
        </w:rPr>
        <w:t>et seq</w:t>
      </w:r>
      <w:r w:rsidRPr="00E90F29">
        <w:rPr>
          <w:rFonts w:ascii="Arial" w:hAnsi="Arial" w:cs="Arial"/>
          <w:sz w:val="22"/>
          <w:szCs w:val="22"/>
        </w:rPr>
        <w:t xml:space="preserve">; </w:t>
      </w:r>
      <w:r w:rsidRPr="00E90F29">
        <w:rPr>
          <w:rFonts w:ascii="Arial" w:hAnsi="Arial" w:cs="Arial"/>
          <w:i/>
          <w:sz w:val="22"/>
          <w:szCs w:val="22"/>
        </w:rPr>
        <w:t>Osman v The United Kingdom</w:t>
      </w:r>
      <w:r w:rsidRPr="00E90F29">
        <w:rPr>
          <w:rFonts w:ascii="Arial" w:hAnsi="Arial" w:cs="Arial"/>
          <w:sz w:val="22"/>
          <w:szCs w:val="22"/>
        </w:rPr>
        <w:t xml:space="preserve">, Application no. </w:t>
      </w:r>
      <w:r w:rsidRPr="00E90F29">
        <w:rPr>
          <w:rFonts w:ascii="Arial" w:hAnsi="Arial" w:cs="Arial"/>
          <w:bCs/>
          <w:color w:val="000000"/>
          <w:sz w:val="22"/>
          <w:szCs w:val="22"/>
          <w:shd w:val="clear" w:color="auto" w:fill="FFFFFF"/>
        </w:rPr>
        <w:t>87/1997/871/1083</w:t>
      </w:r>
      <w:r w:rsidRPr="00E90F29">
        <w:rPr>
          <w:rFonts w:ascii="Arial" w:hAnsi="Arial" w:cs="Arial"/>
          <w:sz w:val="22"/>
          <w:szCs w:val="22"/>
        </w:rPr>
        <w:t xml:space="preserve">, judgment of 28 October 1998, par. 115; </w:t>
      </w:r>
      <w:r w:rsidRPr="00E90F29">
        <w:rPr>
          <w:rFonts w:ascii="Arial" w:hAnsi="Arial" w:cs="Arial"/>
          <w:i/>
          <w:sz w:val="22"/>
          <w:szCs w:val="22"/>
        </w:rPr>
        <w:t>R.R. and Others v Hungary</w:t>
      </w:r>
      <w:r w:rsidRPr="00E90F29">
        <w:rPr>
          <w:rFonts w:ascii="Arial" w:hAnsi="Arial" w:cs="Arial"/>
          <w:sz w:val="22"/>
          <w:szCs w:val="22"/>
        </w:rPr>
        <w:t xml:space="preserve">, Application no. 19400/11, judgment of 4 December 2012, pars 22 </w:t>
      </w:r>
      <w:r w:rsidRPr="00E90F29">
        <w:rPr>
          <w:rFonts w:ascii="Arial" w:hAnsi="Arial" w:cs="Arial"/>
          <w:i/>
          <w:sz w:val="22"/>
          <w:szCs w:val="22"/>
        </w:rPr>
        <w:t xml:space="preserve">et seq; </w:t>
      </w:r>
      <w:r w:rsidRPr="00E90F29">
        <w:rPr>
          <w:rFonts w:ascii="Arial" w:hAnsi="Arial" w:cs="Arial"/>
          <w:sz w:val="22"/>
          <w:szCs w:val="22"/>
        </w:rPr>
        <w:t>see also</w:t>
      </w:r>
      <w:r w:rsidRPr="00E90F29">
        <w:rPr>
          <w:rFonts w:ascii="Arial" w:hAnsi="Arial" w:cs="Arial"/>
          <w:i/>
          <w:sz w:val="22"/>
          <w:szCs w:val="22"/>
        </w:rPr>
        <w:t xml:space="preserve"> </w:t>
      </w:r>
      <w:r w:rsidRPr="00E90F29">
        <w:rPr>
          <w:rFonts w:ascii="Arial" w:hAnsi="Arial" w:cs="Arial"/>
          <w:sz w:val="22"/>
          <w:szCs w:val="22"/>
        </w:rPr>
        <w:t xml:space="preserve">Council of Europe, Committee of Ministers, Recommendation Rec(2005)9 of the Committee of Ministers to member states on the protection of witnesses and </w:t>
      </w:r>
      <w:r w:rsidRPr="00E90F29">
        <w:rPr>
          <w:rFonts w:ascii="Arial" w:hAnsi="Arial" w:cs="Arial"/>
          <w:sz w:val="22"/>
          <w:szCs w:val="22"/>
        </w:rPr>
        <w:lastRenderedPageBreak/>
        <w:t>collaborators of justice, adopted by the Committee of Ministers on 20 April 2005, at the 924</w:t>
      </w:r>
      <w:r w:rsidRPr="00E90F29">
        <w:rPr>
          <w:rFonts w:ascii="Arial" w:hAnsi="Arial" w:cs="Arial"/>
          <w:sz w:val="22"/>
          <w:szCs w:val="22"/>
          <w:vertAlign w:val="superscript"/>
        </w:rPr>
        <w:t>th</w:t>
      </w:r>
      <w:r w:rsidRPr="00E90F29">
        <w:rPr>
          <w:rFonts w:ascii="Arial" w:hAnsi="Arial" w:cs="Arial"/>
          <w:sz w:val="22"/>
          <w:szCs w:val="22"/>
        </w:rPr>
        <w:t xml:space="preserve"> meeting of the Ministers’ Deputies and the Declaration of Basic Principles of Justice for Victims of Crime and Abuse of Power, A/RES/40/34, 29 November 1985). </w:t>
      </w:r>
    </w:p>
    <w:p w14:paraId="7704F777" w14:textId="0CC0104C" w:rsidR="00FA5A7A" w:rsidRPr="00E90F29" w:rsidRDefault="00FA5A7A" w:rsidP="00E90F29">
      <w:pPr>
        <w:spacing w:line="360" w:lineRule="auto"/>
        <w:ind w:left="567"/>
        <w:jc w:val="both"/>
        <w:rPr>
          <w:rFonts w:ascii="Arial" w:hAnsi="Arial" w:cs="Arial"/>
          <w:sz w:val="22"/>
          <w:szCs w:val="22"/>
        </w:rPr>
      </w:pPr>
      <w:r w:rsidRPr="00E90F29">
        <w:rPr>
          <w:rFonts w:ascii="Arial" w:hAnsi="Arial" w:cs="Arial"/>
          <w:sz w:val="22"/>
          <w:szCs w:val="22"/>
        </w:rPr>
        <w:t>49.</w:t>
      </w:r>
      <w:r w:rsidRPr="00E90F29">
        <w:rPr>
          <w:rFonts w:ascii="Arial" w:hAnsi="Arial" w:cs="Arial"/>
          <w:sz w:val="22"/>
          <w:szCs w:val="22"/>
        </w:rPr>
        <w:tab/>
        <w:t xml:space="preserve">Considering the gravity of the alleged crimes in relation to which he provided information, the genuine fear expressed by the witness and the volatile environment in which he lives, EULEX Prosecutors knew or ought to have known that the unconditional disclosure of his statement to the Serbian authorities could potentially expose the complaint and his family to potential harm which should have been avoided. EULEX Prosecutors failed to take measures within the scope of their powers which, judged reasonably, might have been expected in order to avoid or reduce that risk (see, again, </w:t>
      </w:r>
      <w:r w:rsidRPr="00E90F29">
        <w:rPr>
          <w:rFonts w:ascii="Arial" w:hAnsi="Arial" w:cs="Arial"/>
          <w:i/>
          <w:sz w:val="22"/>
          <w:szCs w:val="22"/>
        </w:rPr>
        <w:t>R.R. and Others v Hungary</w:t>
      </w:r>
      <w:r w:rsidRPr="00E90F29">
        <w:rPr>
          <w:rFonts w:ascii="Arial" w:hAnsi="Arial" w:cs="Arial"/>
          <w:sz w:val="22"/>
          <w:szCs w:val="22"/>
        </w:rPr>
        <w:t xml:space="preserve">, cited above, par. 29; Recommendation Rec(2005)9 of the Committee of Ministers to member states on the protection of witnesses and collaborators of justice: “member states have a duty to protect witnesses against such interference by providing them with specific protection measures aimed at effectively ensuring their safety”). Such measures might have included, for instance, redacting the identifying features of the witness or seeking protective measures or non-disclosure orders from the competent authorities prior to communicating his statement. EULEX Prosecutors did not therefore do all that could reasonably have been expected of them in the circumstances and potentially exposed the complainant and his family to unjustified risks that should have been avoided (see, also, </w:t>
      </w:r>
      <w:r w:rsidRPr="00E90F29">
        <w:rPr>
          <w:rFonts w:ascii="Arial" w:hAnsi="Arial" w:cs="Arial"/>
          <w:i/>
          <w:sz w:val="22"/>
          <w:szCs w:val="22"/>
        </w:rPr>
        <w:t>mutatis mutandis</w:t>
      </w:r>
      <w:r w:rsidRPr="00E90F29">
        <w:rPr>
          <w:rFonts w:ascii="Arial" w:hAnsi="Arial" w:cs="Arial"/>
          <w:sz w:val="22"/>
          <w:szCs w:val="22"/>
        </w:rPr>
        <w:t xml:space="preserve">, </w:t>
      </w:r>
      <w:r w:rsidRPr="00E90F29">
        <w:rPr>
          <w:rFonts w:ascii="Arial" w:hAnsi="Arial" w:cs="Arial"/>
          <w:i/>
          <w:sz w:val="22"/>
          <w:szCs w:val="22"/>
        </w:rPr>
        <w:t>Bevacqua and S v. Bulgaria</w:t>
      </w:r>
      <w:r w:rsidRPr="00E90F29">
        <w:rPr>
          <w:rFonts w:ascii="Arial" w:hAnsi="Arial" w:cs="Arial"/>
          <w:sz w:val="22"/>
          <w:szCs w:val="22"/>
        </w:rPr>
        <w:t xml:space="preserve">, Application no. 71127/11, judgment of 12 September 2008; </w:t>
      </w:r>
      <w:r w:rsidRPr="00E90F29">
        <w:rPr>
          <w:rFonts w:ascii="Arial" w:hAnsi="Arial" w:cs="Arial"/>
          <w:i/>
          <w:sz w:val="22"/>
          <w:szCs w:val="22"/>
        </w:rPr>
        <w:t>A. v. Croatia</w:t>
      </w:r>
      <w:r w:rsidRPr="00E90F29">
        <w:rPr>
          <w:rFonts w:ascii="Arial" w:hAnsi="Arial" w:cs="Arial"/>
          <w:sz w:val="22"/>
          <w:szCs w:val="22"/>
        </w:rPr>
        <w:t>, Application 55164/08, judgment of 14 October 2010).</w:t>
      </w:r>
    </w:p>
    <w:p w14:paraId="6DA035F8" w14:textId="680E6EDD" w:rsidR="00FA5A7A" w:rsidRPr="00E90F29" w:rsidRDefault="00FA5A7A" w:rsidP="00E90F29">
      <w:pPr>
        <w:spacing w:line="360" w:lineRule="auto"/>
        <w:ind w:left="567"/>
        <w:jc w:val="both"/>
        <w:rPr>
          <w:rFonts w:ascii="Arial" w:hAnsi="Arial" w:cs="Arial"/>
          <w:sz w:val="22"/>
          <w:szCs w:val="22"/>
        </w:rPr>
      </w:pPr>
      <w:r w:rsidRPr="00E90F29">
        <w:rPr>
          <w:rFonts w:ascii="Arial" w:hAnsi="Arial" w:cs="Arial"/>
          <w:sz w:val="22"/>
          <w:szCs w:val="22"/>
        </w:rPr>
        <w:t>50.</w:t>
      </w:r>
      <w:r w:rsidRPr="00E90F29">
        <w:rPr>
          <w:rFonts w:ascii="Arial" w:hAnsi="Arial" w:cs="Arial"/>
          <w:sz w:val="22"/>
          <w:szCs w:val="22"/>
        </w:rPr>
        <w:tab/>
        <w:t xml:space="preserve">Finally, the </w:t>
      </w:r>
      <w:r w:rsidRPr="00E90F29">
        <w:rPr>
          <w:rFonts w:ascii="Arial" w:hAnsi="Arial" w:cs="Arial"/>
          <w:sz w:val="22"/>
          <w:szCs w:val="22"/>
          <w:lang w:val="en-GB"/>
        </w:rPr>
        <w:t xml:space="preserve">Panel is not persuaded by the argument that the fact that the complainant agreed to give testimony to the Serbian prosecutors in September 2012 proved that he did not, in reality, fear them. The Panel notes that the complainant, in his reply to the observations, stressed that he had only agreed to testify against one suspect who was currently in detention. He implied that he was afraid of retaliation from other suspects who are still at large. Such an explanation is not unreasonable in the circumstances. Furthermore, he was accompanied on that occasion by EULEX staff. In any event, the fact that the complainant was persuaded to overcome his reservations and that he cooperated with the Serbian authorities under the apparent oversight of EULEX does not in any way diminish the anguish that he might legitimately feel regarding </w:t>
      </w:r>
      <w:r w:rsidRPr="00E90F29">
        <w:rPr>
          <w:rFonts w:ascii="Arial" w:hAnsi="Arial" w:cs="Arial"/>
          <w:sz w:val="22"/>
          <w:szCs w:val="22"/>
          <w:lang w:val="en-GB"/>
        </w:rPr>
        <w:lastRenderedPageBreak/>
        <w:t>his information having been shared with unidentified Serbian officials who, in turn, might have shared it with other persons.</w:t>
      </w:r>
    </w:p>
    <w:p w14:paraId="530239BC" w14:textId="4DFDADC7" w:rsidR="00FA5A7A" w:rsidRPr="00E90F29" w:rsidRDefault="00FA5A7A" w:rsidP="00E90F29">
      <w:pPr>
        <w:spacing w:line="360" w:lineRule="auto"/>
        <w:ind w:left="567"/>
        <w:jc w:val="both"/>
        <w:rPr>
          <w:rFonts w:ascii="Arial" w:hAnsi="Arial" w:cs="Arial"/>
          <w:sz w:val="22"/>
          <w:szCs w:val="22"/>
          <w:lang w:val="en-GB"/>
        </w:rPr>
      </w:pPr>
      <w:r w:rsidRPr="00E90F29">
        <w:rPr>
          <w:rFonts w:ascii="Arial" w:hAnsi="Arial" w:cs="Arial"/>
          <w:sz w:val="22"/>
          <w:szCs w:val="22"/>
          <w:lang w:val="en-GB"/>
        </w:rPr>
        <w:t>51.</w:t>
      </w:r>
      <w:r w:rsidRPr="00E90F29">
        <w:rPr>
          <w:rFonts w:ascii="Arial" w:hAnsi="Arial" w:cs="Arial"/>
          <w:sz w:val="22"/>
          <w:szCs w:val="22"/>
          <w:lang w:val="en-GB"/>
        </w:rPr>
        <w:tab/>
        <w:t>The Panel finds that, in the circumstances of this case, the legitimate aim of prosecuting those suspected of having committed war crimes was not a sufficient reason to justify disclosing the complainant’s statement and personal details without his consent, without a proper legal basis, without judicial oversight and without any protective measures having been taken to limit the risks involved in the disclosure of that information.</w:t>
      </w:r>
    </w:p>
    <w:p w14:paraId="615F400B" w14:textId="63953C7C" w:rsidR="00FA5A7A" w:rsidRPr="00E90F29" w:rsidRDefault="00FA5A7A" w:rsidP="00E90F29">
      <w:pPr>
        <w:spacing w:line="360" w:lineRule="auto"/>
        <w:ind w:left="567"/>
        <w:jc w:val="both"/>
        <w:rPr>
          <w:rFonts w:ascii="Arial" w:hAnsi="Arial" w:cs="Arial"/>
          <w:sz w:val="22"/>
          <w:szCs w:val="22"/>
          <w:lang w:val="en-GB"/>
        </w:rPr>
      </w:pPr>
      <w:r w:rsidRPr="00E90F29">
        <w:rPr>
          <w:rFonts w:ascii="Arial" w:hAnsi="Arial" w:cs="Arial"/>
          <w:sz w:val="22"/>
          <w:szCs w:val="22"/>
          <w:lang w:val="en-GB"/>
        </w:rPr>
        <w:t>[…]</w:t>
      </w:r>
    </w:p>
    <w:p w14:paraId="079E6BAB" w14:textId="18008C2E" w:rsidR="00FA5A7A" w:rsidRPr="00E90F29" w:rsidRDefault="00FA5A7A" w:rsidP="00E90F29">
      <w:pPr>
        <w:spacing w:line="360" w:lineRule="auto"/>
        <w:ind w:left="567"/>
        <w:jc w:val="both"/>
        <w:rPr>
          <w:rFonts w:ascii="Arial" w:hAnsi="Arial" w:cs="Arial"/>
          <w:sz w:val="22"/>
          <w:szCs w:val="22"/>
          <w:lang w:val="en-GB"/>
        </w:rPr>
      </w:pPr>
      <w:r w:rsidRPr="00E90F29">
        <w:rPr>
          <w:rFonts w:ascii="Arial" w:hAnsi="Arial" w:cs="Arial"/>
          <w:sz w:val="22"/>
          <w:szCs w:val="22"/>
          <w:lang w:val="en-GB"/>
        </w:rPr>
        <w:t xml:space="preserve">53. </w:t>
      </w:r>
      <w:r w:rsidRPr="00E90F29">
        <w:rPr>
          <w:rFonts w:ascii="Arial" w:hAnsi="Arial" w:cs="Arial"/>
          <w:sz w:val="22"/>
          <w:szCs w:val="22"/>
          <w:lang w:val="en-GB"/>
        </w:rPr>
        <w:tab/>
        <w:t>The Panel will repeat here its observations made in par. 50 that the complainant’s cooperation with Serbian authorities did not in any way absolve EULEX of its own responsibilities towards the complainant. In particular, the Panel notes that there is no recorded indication of EULEX having conducted an evaluation of the necessity and proportionality of its disclosing without condition and without any sort of oversight the un-redacted statement of the complainant to the Serbian authorities.”</w:t>
      </w:r>
    </w:p>
    <w:p w14:paraId="15A5F4DF" w14:textId="7E7E97E7" w:rsidR="002C66DB" w:rsidRPr="00E90F29" w:rsidRDefault="002C66DB" w:rsidP="00E90F29">
      <w:pPr>
        <w:spacing w:line="360" w:lineRule="auto"/>
        <w:jc w:val="both"/>
        <w:rPr>
          <w:rFonts w:ascii="Arial" w:hAnsi="Arial" w:cs="Arial"/>
          <w:sz w:val="22"/>
          <w:szCs w:val="22"/>
          <w:lang w:val="en-GB"/>
        </w:rPr>
      </w:pPr>
    </w:p>
    <w:p w14:paraId="5F18230A" w14:textId="147DE7A5" w:rsidR="00FA5A7A" w:rsidRPr="00E90F29" w:rsidRDefault="00FA5A7A" w:rsidP="00E90F29">
      <w:pPr>
        <w:spacing w:line="360" w:lineRule="auto"/>
        <w:jc w:val="both"/>
        <w:rPr>
          <w:rFonts w:ascii="Arial" w:hAnsi="Arial" w:cs="Arial"/>
          <w:sz w:val="22"/>
          <w:szCs w:val="22"/>
          <w:lang w:val="en-GB"/>
        </w:rPr>
      </w:pPr>
    </w:p>
    <w:p w14:paraId="7D94CDE7" w14:textId="77777777" w:rsidR="008732C4" w:rsidRPr="00E90F29" w:rsidRDefault="008732C4" w:rsidP="00E90F29">
      <w:pPr>
        <w:pStyle w:val="ListParagraph"/>
        <w:spacing w:line="360" w:lineRule="auto"/>
        <w:ind w:left="1080"/>
        <w:jc w:val="both"/>
        <w:rPr>
          <w:rFonts w:ascii="Arial" w:hAnsi="Arial" w:cs="Arial"/>
          <w:sz w:val="22"/>
          <w:szCs w:val="22"/>
          <w:lang w:val="en-GB"/>
        </w:rPr>
      </w:pPr>
    </w:p>
    <w:p w14:paraId="4FA0F65A" w14:textId="14E4EF49" w:rsidR="00651E8A" w:rsidRPr="00E90F29" w:rsidRDefault="00F71527" w:rsidP="00E90F29">
      <w:pPr>
        <w:pStyle w:val="Heading2"/>
      </w:pPr>
      <w:bookmarkStart w:id="35" w:name="_Toc513713977"/>
      <w:r w:rsidRPr="00E90F29">
        <w:t xml:space="preserve">3.7 </w:t>
      </w:r>
      <w:r w:rsidR="00651E8A" w:rsidRPr="00E90F29">
        <w:t xml:space="preserve">Freedom of assembly and association </w:t>
      </w:r>
      <w:r w:rsidR="002E29EF" w:rsidRPr="00E90F29">
        <w:t>and freedom of religion</w:t>
      </w:r>
      <w:bookmarkEnd w:id="35"/>
    </w:p>
    <w:p w14:paraId="3E66FF2F" w14:textId="77777777" w:rsidR="008732C4" w:rsidRPr="00E90F29" w:rsidRDefault="008732C4" w:rsidP="00E90F29">
      <w:pPr>
        <w:spacing w:line="360" w:lineRule="auto"/>
        <w:jc w:val="both"/>
        <w:rPr>
          <w:rFonts w:ascii="Arial" w:hAnsi="Arial" w:cs="Arial"/>
          <w:sz w:val="22"/>
          <w:szCs w:val="22"/>
          <w:lang w:val="en-GB"/>
        </w:rPr>
      </w:pPr>
    </w:p>
    <w:p w14:paraId="4B31F59B" w14:textId="77E66B7B" w:rsidR="00E72A70" w:rsidRPr="00E90F29" w:rsidRDefault="00FA5A7A" w:rsidP="00E90F29">
      <w:pPr>
        <w:pStyle w:val="Heading3"/>
      </w:pPr>
      <w:bookmarkStart w:id="36" w:name="_Toc513713978"/>
      <w:r w:rsidRPr="00E90F29">
        <w:t>3.7</w:t>
      </w:r>
      <w:r w:rsidR="00AC5B01" w:rsidRPr="00E90F29">
        <w:t xml:space="preserve">.1 </w:t>
      </w:r>
      <w:r w:rsidR="00E72A70" w:rsidRPr="00E90F29">
        <w:t>General considerations</w:t>
      </w:r>
      <w:bookmarkEnd w:id="36"/>
      <w:r w:rsidR="00E72A70" w:rsidRPr="00E90F29">
        <w:t xml:space="preserve"> </w:t>
      </w:r>
    </w:p>
    <w:p w14:paraId="248E0E99" w14:textId="265F1B86" w:rsidR="0055433C" w:rsidRPr="00E90F29" w:rsidRDefault="0055433C"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Panel has had occasion to deal with the right of individuals to </w:t>
      </w:r>
      <w:r w:rsidR="00890501" w:rsidRPr="00E90F29">
        <w:rPr>
          <w:rFonts w:ascii="Arial" w:hAnsi="Arial" w:cs="Arial"/>
          <w:sz w:val="22"/>
          <w:szCs w:val="22"/>
          <w:lang w:val="en-GB"/>
        </w:rPr>
        <w:t xml:space="preserve">(peaceful) </w:t>
      </w:r>
      <w:r w:rsidRPr="00E90F29">
        <w:rPr>
          <w:rFonts w:ascii="Arial" w:hAnsi="Arial" w:cs="Arial"/>
          <w:sz w:val="22"/>
          <w:szCs w:val="22"/>
          <w:lang w:val="en-GB"/>
        </w:rPr>
        <w:t xml:space="preserve">assembly, consistent with Article 11 of the </w:t>
      </w:r>
      <w:r w:rsidR="00890501" w:rsidRPr="00E90F29">
        <w:rPr>
          <w:rFonts w:ascii="Arial" w:hAnsi="Arial" w:cs="Arial"/>
          <w:sz w:val="22"/>
          <w:szCs w:val="22"/>
          <w:lang w:val="en-GB"/>
        </w:rPr>
        <w:t>European Court of Human Rights and Article 21 ICCPR.</w:t>
      </w:r>
    </w:p>
    <w:p w14:paraId="3312B561" w14:textId="77777777" w:rsidR="0055433C" w:rsidRPr="00E90F29" w:rsidRDefault="0055433C" w:rsidP="00E90F29">
      <w:pPr>
        <w:spacing w:line="360" w:lineRule="auto"/>
        <w:jc w:val="both"/>
        <w:rPr>
          <w:rFonts w:ascii="Arial" w:hAnsi="Arial" w:cs="Arial"/>
          <w:sz w:val="22"/>
          <w:szCs w:val="22"/>
          <w:lang w:val="en-GB"/>
        </w:rPr>
      </w:pPr>
    </w:p>
    <w:p w14:paraId="7CB298DD" w14:textId="1BDB410F" w:rsidR="001B3639" w:rsidRPr="00E90F29" w:rsidRDefault="0055433C" w:rsidP="00E90F29">
      <w:pPr>
        <w:spacing w:line="360" w:lineRule="auto"/>
        <w:jc w:val="both"/>
        <w:rPr>
          <w:rFonts w:ascii="Arial" w:hAnsi="Arial" w:cs="Arial"/>
          <w:sz w:val="22"/>
          <w:szCs w:val="22"/>
          <w:lang w:val="en-GB"/>
        </w:rPr>
      </w:pPr>
      <w:r w:rsidRPr="00E90F29">
        <w:rPr>
          <w:rFonts w:ascii="Arial" w:hAnsi="Arial" w:cs="Arial"/>
          <w:sz w:val="22"/>
          <w:szCs w:val="22"/>
          <w:lang w:val="en-GB"/>
        </w:rPr>
        <w:t>In that context, the Panel made it clear that an interference with that right may arise from acts of violence directed at people seeking to exercise that right.</w:t>
      </w:r>
      <w:r w:rsidRPr="00E90F29">
        <w:rPr>
          <w:rStyle w:val="FootnoteReference"/>
          <w:rFonts w:ascii="Arial" w:hAnsi="Arial" w:cs="Arial"/>
          <w:sz w:val="22"/>
          <w:szCs w:val="22"/>
          <w:lang w:val="en-GB"/>
        </w:rPr>
        <w:footnoteReference w:id="66"/>
      </w:r>
      <w:r w:rsidR="001B3639" w:rsidRPr="00E90F29">
        <w:rPr>
          <w:rFonts w:ascii="Arial" w:hAnsi="Arial" w:cs="Arial"/>
          <w:sz w:val="22"/>
          <w:szCs w:val="22"/>
          <w:lang w:val="en-GB"/>
        </w:rPr>
        <w:t xml:space="preserve"> On that basis, the Panel said this, echoing the EC</w:t>
      </w:r>
      <w:r w:rsidR="00890501" w:rsidRPr="00E90F29">
        <w:rPr>
          <w:rFonts w:ascii="Arial" w:hAnsi="Arial" w:cs="Arial"/>
          <w:sz w:val="22"/>
          <w:szCs w:val="22"/>
          <w:lang w:val="en-GB"/>
        </w:rPr>
        <w:t>tHR on that point:</w:t>
      </w:r>
    </w:p>
    <w:p w14:paraId="2F80F02A" w14:textId="77777777" w:rsidR="001B3639" w:rsidRPr="00E90F29" w:rsidRDefault="001B3639" w:rsidP="00E90F29">
      <w:pPr>
        <w:spacing w:line="360" w:lineRule="auto"/>
        <w:jc w:val="both"/>
        <w:rPr>
          <w:rFonts w:ascii="Arial" w:hAnsi="Arial" w:cs="Arial"/>
          <w:sz w:val="22"/>
          <w:szCs w:val="22"/>
          <w:lang w:val="en-GB"/>
        </w:rPr>
      </w:pPr>
    </w:p>
    <w:p w14:paraId="78347E74" w14:textId="69EB5B64" w:rsidR="001B3639" w:rsidRPr="00E90F29" w:rsidRDefault="001B3639" w:rsidP="00E90F29">
      <w:pPr>
        <w:spacing w:line="360" w:lineRule="auto"/>
        <w:ind w:left="567"/>
        <w:jc w:val="both"/>
        <w:rPr>
          <w:rFonts w:ascii="Arial" w:hAnsi="Arial" w:cs="Arial"/>
          <w:sz w:val="22"/>
          <w:szCs w:val="22"/>
        </w:rPr>
      </w:pPr>
      <w:r w:rsidRPr="00E90F29">
        <w:rPr>
          <w:rFonts w:ascii="Arial" w:hAnsi="Arial" w:cs="Arial"/>
          <w:sz w:val="22"/>
          <w:szCs w:val="22"/>
          <w:lang w:val="en-GB"/>
        </w:rPr>
        <w:lastRenderedPageBreak/>
        <w:t>“</w:t>
      </w:r>
      <w:r w:rsidRPr="00E90F29">
        <w:rPr>
          <w:rFonts w:ascii="Arial" w:hAnsi="Arial" w:cs="Arial"/>
          <w:sz w:val="22"/>
          <w:szCs w:val="22"/>
        </w:rPr>
        <w:t>The Panel reiterates that “[a] demonstration may annoy or give offence to persons opposed to the ideas or claims that it is seeking to promote. The participants must, however, be able to hold the demonstration without having to fear that they will be subjected to physical violence by their opponents; such a fear would be liable to deter associations or other groups supporting common ideas or interests from openly expressing their opinions on highly controversial issues affecting the community. Genuine, effective freedom of peaceful assembly cannot, therefore, be reduced to a mere duty on the part of the State not to interfere: a purely negative conception would not be compatible with the object and purpose of Article 11 (art. 11). Like Article 8 (art. 8), Article 11 (art. 11) sometimes requires positive measures to be taken, even in the sphere of relations between individuals, if need be […].”</w:t>
      </w:r>
      <w:r w:rsidRPr="00E90F29">
        <w:rPr>
          <w:rStyle w:val="FootnoteReference"/>
          <w:rFonts w:ascii="Arial" w:hAnsi="Arial" w:cs="Arial"/>
          <w:sz w:val="22"/>
          <w:szCs w:val="22"/>
        </w:rPr>
        <w:footnoteReference w:id="67"/>
      </w:r>
    </w:p>
    <w:p w14:paraId="53A7EC02" w14:textId="014DDB92" w:rsidR="001B3639" w:rsidRPr="00E90F29" w:rsidRDefault="001B3639" w:rsidP="00E90F29">
      <w:pPr>
        <w:spacing w:line="360" w:lineRule="auto"/>
        <w:jc w:val="both"/>
        <w:rPr>
          <w:rFonts w:ascii="Arial" w:hAnsi="Arial" w:cs="Arial"/>
          <w:sz w:val="22"/>
          <w:szCs w:val="22"/>
          <w:lang w:val="en-GB"/>
        </w:rPr>
      </w:pPr>
    </w:p>
    <w:p w14:paraId="35FD25EB" w14:textId="56973CB3" w:rsidR="001B3639" w:rsidRPr="00E90F29" w:rsidRDefault="00890501"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Panel added the following about the nature of the duty attaching to public authorities regarding the effective enjoyment of that right: </w:t>
      </w:r>
    </w:p>
    <w:p w14:paraId="06601BEF" w14:textId="77777777" w:rsidR="001B3639" w:rsidRPr="00E90F29" w:rsidRDefault="001B3639" w:rsidP="00E90F29">
      <w:pPr>
        <w:spacing w:line="360" w:lineRule="auto"/>
        <w:jc w:val="both"/>
        <w:rPr>
          <w:rFonts w:ascii="Arial" w:hAnsi="Arial" w:cs="Arial"/>
          <w:sz w:val="22"/>
          <w:szCs w:val="22"/>
          <w:lang w:val="en-GB"/>
        </w:rPr>
      </w:pPr>
    </w:p>
    <w:p w14:paraId="7E1DB9BF" w14:textId="30AB8C13" w:rsidR="001B3639" w:rsidRPr="00E90F29" w:rsidRDefault="001B3639" w:rsidP="00E90F29">
      <w:pPr>
        <w:spacing w:line="360" w:lineRule="auto"/>
        <w:ind w:left="567"/>
        <w:jc w:val="both"/>
        <w:rPr>
          <w:rFonts w:ascii="Arial" w:hAnsi="Arial" w:cs="Arial"/>
          <w:sz w:val="22"/>
          <w:szCs w:val="22"/>
        </w:rPr>
      </w:pPr>
      <w:r w:rsidRPr="00E90F29">
        <w:rPr>
          <w:rFonts w:ascii="Arial" w:hAnsi="Arial" w:cs="Arial"/>
          <w:sz w:val="22"/>
          <w:szCs w:val="22"/>
          <w:lang w:val="en-GB"/>
        </w:rPr>
        <w:t>“</w:t>
      </w:r>
      <w:r w:rsidRPr="00E90F29">
        <w:rPr>
          <w:rFonts w:ascii="Arial" w:hAnsi="Arial" w:cs="Arial"/>
          <w:sz w:val="22"/>
          <w:szCs w:val="22"/>
        </w:rPr>
        <w:t>While under the case-law of the EHCR it is the duty of the public authorities to take reasonable and appropriate measures with regard to lawful demonstrations to ensure their peaceful conduct and the safety of all citizens, they cannot guarantee this absolutely and they have a wide margin of discretion in the choice of means to be used. In this regard the obligation they enter into under Article 11 of the Convention is an obligation as to measures to be taken and not as to results to be achieved […].”</w:t>
      </w:r>
      <w:r w:rsidRPr="00E90F29">
        <w:rPr>
          <w:rStyle w:val="FootnoteReference"/>
          <w:rFonts w:ascii="Arial" w:hAnsi="Arial" w:cs="Arial"/>
          <w:sz w:val="22"/>
          <w:szCs w:val="22"/>
        </w:rPr>
        <w:footnoteReference w:id="68"/>
      </w:r>
    </w:p>
    <w:p w14:paraId="7AA98F0D" w14:textId="77777777" w:rsidR="001B3639" w:rsidRPr="00E90F29" w:rsidRDefault="001B3639" w:rsidP="00E90F29">
      <w:pPr>
        <w:spacing w:line="360" w:lineRule="auto"/>
        <w:jc w:val="both"/>
        <w:rPr>
          <w:rFonts w:ascii="Arial" w:hAnsi="Arial" w:cs="Arial"/>
          <w:sz w:val="22"/>
          <w:szCs w:val="22"/>
          <w:lang w:val="en-GB"/>
        </w:rPr>
      </w:pPr>
    </w:p>
    <w:p w14:paraId="008801D7" w14:textId="431EFE67" w:rsidR="002E29EF" w:rsidRPr="00E90F29" w:rsidRDefault="00FA5A7A" w:rsidP="00E90F29">
      <w:pPr>
        <w:pStyle w:val="Heading3"/>
      </w:pPr>
      <w:bookmarkStart w:id="37" w:name="_Toc513713979"/>
      <w:r w:rsidRPr="00E90F29">
        <w:t>3.7</w:t>
      </w:r>
      <w:r w:rsidR="002E29EF" w:rsidRPr="00E90F29">
        <w:t xml:space="preserve">.2 Foresight, planning and adequate </w:t>
      </w:r>
      <w:r w:rsidR="00890501" w:rsidRPr="00E90F29">
        <w:t xml:space="preserve">allocation of </w:t>
      </w:r>
      <w:r w:rsidR="002E29EF" w:rsidRPr="00E90F29">
        <w:t xml:space="preserve">resources </w:t>
      </w:r>
      <w:r w:rsidR="00890501" w:rsidRPr="00E90F29">
        <w:t>by</w:t>
      </w:r>
      <w:r w:rsidR="002E29EF" w:rsidRPr="00E90F29">
        <w:t xml:space="preserve"> the authorities</w:t>
      </w:r>
      <w:bookmarkEnd w:id="37"/>
      <w:r w:rsidR="002E29EF" w:rsidRPr="00E90F29">
        <w:t xml:space="preserve"> </w:t>
      </w:r>
    </w:p>
    <w:p w14:paraId="431B64AB" w14:textId="7C451DF7" w:rsidR="00DC249C" w:rsidRPr="00E90F29" w:rsidRDefault="00890501" w:rsidP="00E90F29">
      <w:pPr>
        <w:spacing w:line="360" w:lineRule="auto"/>
        <w:jc w:val="both"/>
        <w:rPr>
          <w:rFonts w:ascii="Arial" w:hAnsi="Arial" w:cs="Arial"/>
          <w:sz w:val="22"/>
          <w:szCs w:val="22"/>
          <w:lang w:val="en-GB"/>
        </w:rPr>
      </w:pPr>
      <w:r w:rsidRPr="00E90F29">
        <w:rPr>
          <w:rFonts w:ascii="Arial" w:hAnsi="Arial" w:cs="Arial"/>
          <w:sz w:val="22"/>
          <w:szCs w:val="22"/>
          <w:lang w:val="en-GB"/>
        </w:rPr>
        <w:t>The effective protection of this</w:t>
      </w:r>
      <w:r w:rsidR="001B3639" w:rsidRPr="00E90F29">
        <w:rPr>
          <w:rFonts w:ascii="Arial" w:hAnsi="Arial" w:cs="Arial"/>
          <w:sz w:val="22"/>
          <w:szCs w:val="22"/>
          <w:lang w:val="en-GB"/>
        </w:rPr>
        <w:t xml:space="preserve"> right also requires a degree of foresight on the part of the authorities where violence can be reasonably expected.</w:t>
      </w:r>
      <w:r w:rsidR="001B3639" w:rsidRPr="00E90F29">
        <w:rPr>
          <w:rStyle w:val="FootnoteReference"/>
          <w:rFonts w:ascii="Arial" w:hAnsi="Arial" w:cs="Arial"/>
          <w:sz w:val="22"/>
          <w:szCs w:val="22"/>
          <w:lang w:val="en-GB"/>
        </w:rPr>
        <w:footnoteReference w:id="69"/>
      </w:r>
      <w:r w:rsidR="001B3639" w:rsidRPr="00E90F29">
        <w:rPr>
          <w:rFonts w:ascii="Arial" w:hAnsi="Arial" w:cs="Arial"/>
          <w:sz w:val="22"/>
          <w:szCs w:val="22"/>
          <w:lang w:val="en-GB"/>
        </w:rPr>
        <w:t xml:space="preserve"> </w:t>
      </w:r>
      <w:r w:rsidR="00D45A5A" w:rsidRPr="00E90F29">
        <w:rPr>
          <w:rFonts w:ascii="Arial" w:hAnsi="Arial" w:cs="Arial"/>
          <w:sz w:val="22"/>
          <w:szCs w:val="22"/>
          <w:lang w:val="en-GB"/>
        </w:rPr>
        <w:t xml:space="preserve"> </w:t>
      </w:r>
      <w:r w:rsidR="00DC249C" w:rsidRPr="00E90F29">
        <w:rPr>
          <w:rFonts w:ascii="Arial" w:hAnsi="Arial" w:cs="Arial"/>
          <w:sz w:val="22"/>
          <w:szCs w:val="22"/>
        </w:rPr>
        <w:t>I</w:t>
      </w:r>
      <w:r w:rsidR="00D45A5A" w:rsidRPr="00E90F29">
        <w:rPr>
          <w:rFonts w:ascii="Arial" w:hAnsi="Arial" w:cs="Arial"/>
          <w:sz w:val="22"/>
          <w:szCs w:val="22"/>
        </w:rPr>
        <w:t xml:space="preserve">t is important in that </w:t>
      </w:r>
      <w:r w:rsidR="00D45A5A" w:rsidRPr="00E90F29">
        <w:rPr>
          <w:rFonts w:ascii="Arial" w:hAnsi="Arial" w:cs="Arial"/>
          <w:sz w:val="22"/>
          <w:szCs w:val="22"/>
        </w:rPr>
        <w:lastRenderedPageBreak/>
        <w:t>context that preventive security measures such as, for example, the presence of</w:t>
      </w:r>
      <w:r w:rsidRPr="00E90F29">
        <w:rPr>
          <w:rFonts w:ascii="Arial" w:hAnsi="Arial" w:cs="Arial"/>
          <w:sz w:val="22"/>
          <w:szCs w:val="22"/>
        </w:rPr>
        <w:t xml:space="preserve"> police and</w:t>
      </w:r>
      <w:r w:rsidR="00D45A5A" w:rsidRPr="00E90F29">
        <w:rPr>
          <w:rFonts w:ascii="Arial" w:hAnsi="Arial" w:cs="Arial"/>
          <w:sz w:val="22"/>
          <w:szCs w:val="22"/>
        </w:rPr>
        <w:t xml:space="preserve"> first-aid services at the demonstrations, be taken in order to guarantee the smooth conduct of any event, meeting or other gathering, be it political, cultural or of another nature.</w:t>
      </w:r>
      <w:r w:rsidR="00D45A5A" w:rsidRPr="00E90F29">
        <w:rPr>
          <w:rStyle w:val="FootnoteReference"/>
          <w:rFonts w:ascii="Arial" w:hAnsi="Arial" w:cs="Arial"/>
          <w:sz w:val="22"/>
          <w:szCs w:val="22"/>
        </w:rPr>
        <w:footnoteReference w:id="70"/>
      </w:r>
      <w:r w:rsidR="00D45A5A" w:rsidRPr="00E90F29">
        <w:rPr>
          <w:rFonts w:ascii="Arial" w:hAnsi="Arial" w:cs="Arial"/>
          <w:sz w:val="22"/>
          <w:szCs w:val="22"/>
          <w:lang w:val="en-GB"/>
        </w:rPr>
        <w:t xml:space="preserve"> </w:t>
      </w:r>
      <w:r w:rsidR="00DC249C" w:rsidRPr="00E90F29">
        <w:rPr>
          <w:rFonts w:ascii="Arial" w:hAnsi="Arial" w:cs="Arial"/>
          <w:sz w:val="22"/>
          <w:szCs w:val="22"/>
          <w:lang w:val="en-GB"/>
        </w:rPr>
        <w:t xml:space="preserve">The authorities will be expected to take reasonable measures to ensure the peaceful enjoyment of that right, despite foreseeable opposition </w:t>
      </w:r>
      <w:r w:rsidRPr="00E90F29">
        <w:rPr>
          <w:rFonts w:ascii="Arial" w:hAnsi="Arial" w:cs="Arial"/>
          <w:sz w:val="22"/>
          <w:szCs w:val="22"/>
          <w:lang w:val="en-GB"/>
        </w:rPr>
        <w:t xml:space="preserve">by third parties </w:t>
      </w:r>
      <w:r w:rsidR="00DC249C" w:rsidRPr="00E90F29">
        <w:rPr>
          <w:rFonts w:ascii="Arial" w:hAnsi="Arial" w:cs="Arial"/>
          <w:sz w:val="22"/>
          <w:szCs w:val="22"/>
          <w:lang w:val="en-GB"/>
        </w:rPr>
        <w:t xml:space="preserve">to its exercise: </w:t>
      </w:r>
    </w:p>
    <w:p w14:paraId="324675C0" w14:textId="77777777" w:rsidR="00DC249C" w:rsidRPr="00E90F29" w:rsidRDefault="00DC249C" w:rsidP="00E90F29">
      <w:pPr>
        <w:spacing w:line="360" w:lineRule="auto"/>
        <w:jc w:val="both"/>
        <w:rPr>
          <w:rFonts w:ascii="Arial" w:hAnsi="Arial" w:cs="Arial"/>
          <w:sz w:val="22"/>
          <w:szCs w:val="22"/>
          <w:lang w:val="en-GB"/>
        </w:rPr>
      </w:pPr>
    </w:p>
    <w:p w14:paraId="274CD16E" w14:textId="3524009C" w:rsidR="00DC249C" w:rsidRPr="00E90F29" w:rsidRDefault="00DC249C" w:rsidP="00E90F29">
      <w:pPr>
        <w:spacing w:line="360" w:lineRule="auto"/>
        <w:ind w:left="567"/>
        <w:jc w:val="both"/>
        <w:rPr>
          <w:rFonts w:ascii="Arial" w:hAnsi="Arial" w:cs="Arial"/>
          <w:sz w:val="22"/>
          <w:szCs w:val="22"/>
        </w:rPr>
      </w:pPr>
      <w:r w:rsidRPr="00E90F29">
        <w:rPr>
          <w:rFonts w:ascii="Arial" w:hAnsi="Arial" w:cs="Arial"/>
          <w:sz w:val="22"/>
          <w:szCs w:val="22"/>
          <w:lang w:val="en-GB"/>
        </w:rPr>
        <w:t>“</w:t>
      </w:r>
      <w:r w:rsidRPr="00E90F29">
        <w:rPr>
          <w:rFonts w:ascii="Arial" w:hAnsi="Arial" w:cs="Arial"/>
          <w:sz w:val="22"/>
          <w:szCs w:val="22"/>
        </w:rPr>
        <w:t>It is further reiterated that, while those who choose to exercise their freedom to manifest their conscience or their religion cannot reasonably expect to be exempt from all criticism, the responsibility of the public authorities may be engaged where their beliefs are opposed or denied in a manner which inhibits those who hold such beliefs from exercising their freedom to hold or express them. In such cases the authorities may be called upon to ensure the peaceful enjoyment of the right guaranteed under Article 9 to the holders of those beliefs (see, mutatis mutandis, Otto-Preminger-</w:t>
      </w:r>
      <w:proofErr w:type="spellStart"/>
      <w:r w:rsidRPr="00E90F29">
        <w:rPr>
          <w:rFonts w:ascii="Arial" w:hAnsi="Arial" w:cs="Arial"/>
          <w:sz w:val="22"/>
          <w:szCs w:val="22"/>
        </w:rPr>
        <w:t>Institut</w:t>
      </w:r>
      <w:proofErr w:type="spellEnd"/>
      <w:r w:rsidRPr="00E90F29">
        <w:rPr>
          <w:rFonts w:ascii="Arial" w:hAnsi="Arial" w:cs="Arial"/>
          <w:sz w:val="22"/>
          <w:szCs w:val="22"/>
        </w:rPr>
        <w:t xml:space="preserve"> v. Austria, 20 September 1994, § 47, Series A no. 295-A; </w:t>
      </w:r>
      <w:proofErr w:type="spellStart"/>
      <w:r w:rsidRPr="00E90F29">
        <w:rPr>
          <w:rFonts w:ascii="Arial" w:hAnsi="Arial" w:cs="Arial"/>
          <w:sz w:val="22"/>
          <w:szCs w:val="22"/>
        </w:rPr>
        <w:t>Öllinger</w:t>
      </w:r>
      <w:proofErr w:type="spellEnd"/>
      <w:r w:rsidRPr="00E90F29">
        <w:rPr>
          <w:rFonts w:ascii="Arial" w:hAnsi="Arial" w:cs="Arial"/>
          <w:sz w:val="22"/>
          <w:szCs w:val="22"/>
        </w:rPr>
        <w:t xml:space="preserve"> v. Austria, no. 76900/01, § 39, ECHR 2006-IX).”</w:t>
      </w:r>
      <w:r w:rsidRPr="00E90F29">
        <w:rPr>
          <w:rStyle w:val="FootnoteReference"/>
          <w:rFonts w:ascii="Arial" w:hAnsi="Arial" w:cs="Arial"/>
          <w:sz w:val="22"/>
          <w:szCs w:val="22"/>
        </w:rPr>
        <w:footnoteReference w:id="71"/>
      </w:r>
    </w:p>
    <w:p w14:paraId="6BF73BE9" w14:textId="77777777" w:rsidR="00DC249C" w:rsidRPr="00E90F29" w:rsidRDefault="00DC249C" w:rsidP="00E90F29">
      <w:pPr>
        <w:spacing w:line="360" w:lineRule="auto"/>
        <w:jc w:val="both"/>
        <w:rPr>
          <w:rFonts w:ascii="Arial" w:hAnsi="Arial" w:cs="Arial"/>
          <w:sz w:val="22"/>
          <w:szCs w:val="22"/>
          <w:lang w:val="en-GB"/>
        </w:rPr>
      </w:pPr>
    </w:p>
    <w:p w14:paraId="4FBC53D8" w14:textId="5B8004BA" w:rsidR="001B3639" w:rsidRPr="00E90F29" w:rsidRDefault="001B3639" w:rsidP="00E90F29">
      <w:pPr>
        <w:spacing w:line="360" w:lineRule="auto"/>
        <w:jc w:val="both"/>
        <w:rPr>
          <w:rFonts w:ascii="Arial" w:hAnsi="Arial" w:cs="Arial"/>
          <w:sz w:val="22"/>
          <w:szCs w:val="22"/>
        </w:rPr>
      </w:pPr>
      <w:r w:rsidRPr="00E90F29">
        <w:rPr>
          <w:rFonts w:ascii="Arial" w:hAnsi="Arial" w:cs="Arial"/>
          <w:sz w:val="22"/>
          <w:szCs w:val="22"/>
          <w:lang w:val="en-GB"/>
        </w:rPr>
        <w:t xml:space="preserve">This </w:t>
      </w:r>
      <w:r w:rsidR="00DC249C" w:rsidRPr="00E90F29">
        <w:rPr>
          <w:rFonts w:ascii="Arial" w:hAnsi="Arial" w:cs="Arial"/>
          <w:sz w:val="22"/>
          <w:szCs w:val="22"/>
          <w:lang w:val="en-GB"/>
        </w:rPr>
        <w:t xml:space="preserve">obligation upon the authorities </w:t>
      </w:r>
      <w:r w:rsidRPr="00E90F29">
        <w:rPr>
          <w:rFonts w:ascii="Arial" w:hAnsi="Arial" w:cs="Arial"/>
          <w:sz w:val="22"/>
          <w:szCs w:val="22"/>
          <w:lang w:val="en-GB"/>
        </w:rPr>
        <w:t>might also require the authorities to have a clear operational plan in place and adequate staff available (in number and nature)</w:t>
      </w:r>
      <w:r w:rsidR="00890501" w:rsidRPr="00E90F29">
        <w:rPr>
          <w:rFonts w:ascii="Arial" w:hAnsi="Arial" w:cs="Arial"/>
          <w:sz w:val="22"/>
          <w:szCs w:val="22"/>
          <w:lang w:val="en-GB"/>
        </w:rPr>
        <w:t xml:space="preserve"> in order</w:t>
      </w:r>
      <w:r w:rsidRPr="00E90F29">
        <w:rPr>
          <w:rFonts w:ascii="Arial" w:hAnsi="Arial" w:cs="Arial"/>
          <w:sz w:val="22"/>
          <w:szCs w:val="22"/>
          <w:lang w:val="en-GB"/>
        </w:rPr>
        <w:t xml:space="preserve"> to guarantee the effectiveness of that right when the authorities have received information raising the possibility of challenges (including violent challenges) to the effective exercise of that right.</w:t>
      </w:r>
      <w:r w:rsidRPr="00E90F29">
        <w:rPr>
          <w:rStyle w:val="FootnoteReference"/>
          <w:rFonts w:ascii="Arial" w:hAnsi="Arial" w:cs="Arial"/>
          <w:sz w:val="22"/>
          <w:szCs w:val="22"/>
          <w:lang w:val="en-GB"/>
        </w:rPr>
        <w:footnoteReference w:id="72"/>
      </w:r>
      <w:r w:rsidRPr="00E90F29">
        <w:rPr>
          <w:rFonts w:ascii="Arial" w:hAnsi="Arial" w:cs="Arial"/>
          <w:sz w:val="22"/>
          <w:szCs w:val="22"/>
          <w:lang w:val="en-GB"/>
        </w:rPr>
        <w:t xml:space="preserve"> From the point of view of the Mission, the </w:t>
      </w:r>
      <w:r w:rsidR="00890501" w:rsidRPr="00E90F29">
        <w:rPr>
          <w:rFonts w:ascii="Arial" w:hAnsi="Arial" w:cs="Arial"/>
          <w:sz w:val="22"/>
          <w:szCs w:val="22"/>
        </w:rPr>
        <w:t>fact that a police</w:t>
      </w:r>
      <w:r w:rsidRPr="00E90F29">
        <w:rPr>
          <w:rFonts w:ascii="Arial" w:hAnsi="Arial" w:cs="Arial"/>
          <w:sz w:val="22"/>
          <w:szCs w:val="22"/>
        </w:rPr>
        <w:t xml:space="preserve"> operation was led by the local (Kosovo) authorities does not release EULEX from its </w:t>
      </w:r>
      <w:r w:rsidRPr="00E90F29">
        <w:rPr>
          <w:rFonts w:ascii="Arial" w:hAnsi="Arial" w:cs="Arial"/>
          <w:i/>
          <w:sz w:val="22"/>
          <w:szCs w:val="22"/>
        </w:rPr>
        <w:t>own</w:t>
      </w:r>
      <w:r w:rsidRPr="00E90F29">
        <w:rPr>
          <w:rFonts w:ascii="Arial" w:hAnsi="Arial" w:cs="Arial"/>
          <w:sz w:val="22"/>
          <w:szCs w:val="22"/>
        </w:rPr>
        <w:t xml:space="preserve"> responsibility to ensure that its involvement in these events was consistent with relevant human rights standards.</w:t>
      </w:r>
      <w:r w:rsidRPr="00E90F29">
        <w:rPr>
          <w:rStyle w:val="FootnoteReference"/>
          <w:rFonts w:ascii="Arial" w:hAnsi="Arial" w:cs="Arial"/>
          <w:sz w:val="22"/>
          <w:szCs w:val="22"/>
        </w:rPr>
        <w:footnoteReference w:id="73"/>
      </w:r>
      <w:r w:rsidRPr="00E90F29">
        <w:rPr>
          <w:rFonts w:ascii="Arial" w:hAnsi="Arial" w:cs="Arial"/>
          <w:sz w:val="22"/>
          <w:szCs w:val="22"/>
        </w:rPr>
        <w:t xml:space="preserve"> </w:t>
      </w:r>
    </w:p>
    <w:p w14:paraId="2EEE1175" w14:textId="77777777" w:rsidR="002E29EF" w:rsidRPr="00E90F29" w:rsidRDefault="002E29EF" w:rsidP="00E90F29">
      <w:pPr>
        <w:spacing w:line="360" w:lineRule="auto"/>
        <w:jc w:val="both"/>
        <w:rPr>
          <w:rFonts w:ascii="Arial" w:hAnsi="Arial" w:cs="Arial"/>
          <w:sz w:val="22"/>
          <w:szCs w:val="22"/>
        </w:rPr>
      </w:pPr>
    </w:p>
    <w:p w14:paraId="7E2074E4" w14:textId="7C98CE45" w:rsidR="002E29EF" w:rsidRPr="00E90F29" w:rsidRDefault="001B3639" w:rsidP="00E90F29">
      <w:pPr>
        <w:spacing w:line="360" w:lineRule="auto"/>
        <w:jc w:val="both"/>
        <w:rPr>
          <w:rFonts w:ascii="Arial" w:hAnsi="Arial" w:cs="Arial"/>
          <w:sz w:val="22"/>
          <w:szCs w:val="22"/>
        </w:rPr>
      </w:pPr>
      <w:r w:rsidRPr="00E90F29">
        <w:rPr>
          <w:rFonts w:ascii="Arial" w:hAnsi="Arial" w:cs="Arial"/>
          <w:sz w:val="22"/>
          <w:szCs w:val="22"/>
        </w:rPr>
        <w:t xml:space="preserve">Based on these considerations, the Panel concluded in relation to violence surrounding the events surrounding the </w:t>
      </w:r>
      <w:proofErr w:type="spellStart"/>
      <w:r w:rsidRPr="00E90F29">
        <w:rPr>
          <w:rFonts w:ascii="Arial" w:hAnsi="Arial" w:cs="Arial"/>
          <w:i/>
          <w:sz w:val="22"/>
          <w:szCs w:val="22"/>
        </w:rPr>
        <w:t>Vidovdan</w:t>
      </w:r>
      <w:proofErr w:type="spellEnd"/>
      <w:r w:rsidRPr="00E90F29">
        <w:rPr>
          <w:rFonts w:ascii="Arial" w:hAnsi="Arial" w:cs="Arial"/>
          <w:sz w:val="22"/>
          <w:szCs w:val="22"/>
        </w:rPr>
        <w:t xml:space="preserve"> celebrations that the Mission had failed to take adequate steps to protect that right effectively and found</w:t>
      </w:r>
      <w:r w:rsidR="00890501" w:rsidRPr="00E90F29">
        <w:rPr>
          <w:rFonts w:ascii="Arial" w:hAnsi="Arial" w:cs="Arial"/>
          <w:sz w:val="22"/>
          <w:szCs w:val="22"/>
        </w:rPr>
        <w:t xml:space="preserve"> that the Mission had therefore violated the right of the complainants to assemble:</w:t>
      </w:r>
      <w:r w:rsidRPr="00E90F29">
        <w:rPr>
          <w:rFonts w:ascii="Arial" w:hAnsi="Arial" w:cs="Arial"/>
          <w:sz w:val="22"/>
          <w:szCs w:val="22"/>
        </w:rPr>
        <w:t xml:space="preserve"> </w:t>
      </w:r>
    </w:p>
    <w:p w14:paraId="6B7CB11E" w14:textId="3E31424B" w:rsidR="001B3639" w:rsidRPr="00E90F29" w:rsidRDefault="001B3639" w:rsidP="00E90F29">
      <w:pPr>
        <w:spacing w:line="360" w:lineRule="auto"/>
        <w:ind w:left="567"/>
        <w:jc w:val="both"/>
        <w:rPr>
          <w:rFonts w:ascii="Arial" w:hAnsi="Arial" w:cs="Arial"/>
          <w:sz w:val="22"/>
          <w:szCs w:val="22"/>
        </w:rPr>
      </w:pPr>
      <w:r w:rsidRPr="00E90F29">
        <w:rPr>
          <w:rFonts w:ascii="Arial" w:hAnsi="Arial" w:cs="Arial"/>
          <w:sz w:val="22"/>
          <w:szCs w:val="22"/>
        </w:rPr>
        <w:lastRenderedPageBreak/>
        <w:br/>
        <w:t xml:space="preserve">“The Panel concludes that, as a result of insufficient resources allocated to the </w:t>
      </w:r>
      <w:proofErr w:type="spellStart"/>
      <w:r w:rsidRPr="00E90F29">
        <w:rPr>
          <w:rFonts w:ascii="Arial" w:hAnsi="Arial" w:cs="Arial"/>
          <w:sz w:val="22"/>
          <w:szCs w:val="22"/>
        </w:rPr>
        <w:t>Vidovdan</w:t>
      </w:r>
      <w:proofErr w:type="spellEnd"/>
      <w:r w:rsidRPr="00E90F29">
        <w:rPr>
          <w:rFonts w:ascii="Arial" w:hAnsi="Arial" w:cs="Arial"/>
          <w:sz w:val="22"/>
          <w:szCs w:val="22"/>
        </w:rPr>
        <w:t xml:space="preserve"> operation by EULEX with a view to ensuring respect for human rights, inadequate training and insufficient operational guidelines, complainant H and G were denied the full and effective enjoyment of their right to respect to private life, freedom of assembly as well as right to exercise their religion safely and without unnecessary hindrance.”</w:t>
      </w:r>
      <w:r w:rsidRPr="00E90F29">
        <w:rPr>
          <w:rStyle w:val="FootnoteReference"/>
          <w:rFonts w:ascii="Arial" w:hAnsi="Arial" w:cs="Arial"/>
          <w:sz w:val="22"/>
          <w:szCs w:val="22"/>
        </w:rPr>
        <w:footnoteReference w:id="74"/>
      </w:r>
    </w:p>
    <w:p w14:paraId="31E35747" w14:textId="77777777" w:rsidR="008732C4" w:rsidRPr="00E90F29" w:rsidRDefault="008732C4" w:rsidP="00E90F29">
      <w:pPr>
        <w:spacing w:line="360" w:lineRule="auto"/>
        <w:jc w:val="both"/>
        <w:rPr>
          <w:rFonts w:ascii="Arial" w:hAnsi="Arial" w:cs="Arial"/>
          <w:sz w:val="22"/>
          <w:szCs w:val="22"/>
          <w:lang w:val="en-GB"/>
        </w:rPr>
      </w:pPr>
    </w:p>
    <w:p w14:paraId="7EDF6EB4" w14:textId="33D0558A" w:rsidR="002E29EF" w:rsidRPr="00E90F29" w:rsidRDefault="00FA5A7A" w:rsidP="00E90F29">
      <w:pPr>
        <w:pStyle w:val="Heading3"/>
      </w:pPr>
      <w:bookmarkStart w:id="38" w:name="_Toc513713980"/>
      <w:r w:rsidRPr="00E90F29">
        <w:t>3.7</w:t>
      </w:r>
      <w:r w:rsidR="002E29EF" w:rsidRPr="00E90F29">
        <w:t>.3 Freedom of religion</w:t>
      </w:r>
      <w:bookmarkEnd w:id="38"/>
    </w:p>
    <w:p w14:paraId="5CA6E0FB" w14:textId="701EA642" w:rsidR="002E29EF" w:rsidRPr="00E90F29" w:rsidRDefault="002E29EF"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Panel also applied the general elements of the guarantee of freedom of religion as recognised, </w:t>
      </w:r>
      <w:r w:rsidRPr="00E90F29">
        <w:rPr>
          <w:rFonts w:ascii="Arial" w:hAnsi="Arial" w:cs="Arial"/>
          <w:i/>
          <w:sz w:val="22"/>
          <w:szCs w:val="22"/>
          <w:lang w:val="en-GB"/>
        </w:rPr>
        <w:t>inter alia</w:t>
      </w:r>
      <w:r w:rsidRPr="00E90F29">
        <w:rPr>
          <w:rFonts w:ascii="Arial" w:hAnsi="Arial" w:cs="Arial"/>
          <w:sz w:val="22"/>
          <w:szCs w:val="22"/>
          <w:lang w:val="en-GB"/>
        </w:rPr>
        <w:t>, in Article 9 of the European Convention of Human Rights. It applied it, in particular, in parallel to the right of individuals to exercise their right of assembly in the context of religious events. The principles laid out above in relation to the right of assembly were made to apply to the effective protection of the right of religion and conscience.</w:t>
      </w:r>
      <w:r w:rsidRPr="00E90F29">
        <w:rPr>
          <w:rStyle w:val="FootnoteReference"/>
          <w:rFonts w:ascii="Arial" w:hAnsi="Arial" w:cs="Arial"/>
          <w:sz w:val="22"/>
          <w:szCs w:val="22"/>
          <w:lang w:val="en-GB"/>
        </w:rPr>
        <w:footnoteReference w:id="75"/>
      </w:r>
    </w:p>
    <w:p w14:paraId="0B71FC70" w14:textId="77777777" w:rsidR="002E29EF" w:rsidRPr="00E90F29" w:rsidRDefault="002E29EF" w:rsidP="00E90F29">
      <w:pPr>
        <w:spacing w:line="360" w:lineRule="auto"/>
        <w:jc w:val="both"/>
        <w:rPr>
          <w:rFonts w:ascii="Arial" w:hAnsi="Arial" w:cs="Arial"/>
          <w:sz w:val="22"/>
          <w:szCs w:val="22"/>
          <w:lang w:val="en-GB"/>
        </w:rPr>
      </w:pPr>
    </w:p>
    <w:p w14:paraId="1D0C1CB2" w14:textId="77777777" w:rsidR="009B135D" w:rsidRPr="00E90F29" w:rsidRDefault="009B135D" w:rsidP="00E90F29">
      <w:pPr>
        <w:spacing w:line="360" w:lineRule="auto"/>
        <w:jc w:val="both"/>
        <w:rPr>
          <w:rFonts w:ascii="Arial" w:hAnsi="Arial" w:cs="Arial"/>
          <w:sz w:val="22"/>
          <w:szCs w:val="22"/>
          <w:lang w:val="en-GB"/>
        </w:rPr>
      </w:pPr>
    </w:p>
    <w:p w14:paraId="327A4B58" w14:textId="403D9176" w:rsidR="00651E8A" w:rsidRPr="00E90F29" w:rsidRDefault="008732C4" w:rsidP="00E90F29">
      <w:pPr>
        <w:pStyle w:val="Heading2"/>
        <w:numPr>
          <w:ilvl w:val="1"/>
          <w:numId w:val="33"/>
        </w:numPr>
      </w:pPr>
      <w:bookmarkStart w:id="39" w:name="_Toc513713981"/>
      <w:r w:rsidRPr="00E90F29">
        <w:t>Right to an effective remedy</w:t>
      </w:r>
      <w:bookmarkEnd w:id="39"/>
      <w:r w:rsidRPr="00E90F29">
        <w:t xml:space="preserve"> </w:t>
      </w:r>
    </w:p>
    <w:p w14:paraId="2E54B9D6" w14:textId="77777777" w:rsidR="008732C4" w:rsidRPr="00E90F29" w:rsidRDefault="008732C4" w:rsidP="00E90F29">
      <w:pPr>
        <w:spacing w:line="360" w:lineRule="auto"/>
        <w:jc w:val="both"/>
        <w:rPr>
          <w:rFonts w:ascii="Arial" w:hAnsi="Arial" w:cs="Arial"/>
          <w:sz w:val="22"/>
          <w:szCs w:val="22"/>
          <w:lang w:val="en-GB"/>
        </w:rPr>
      </w:pPr>
    </w:p>
    <w:p w14:paraId="64299E3F" w14:textId="1502230D" w:rsidR="00E72A70" w:rsidRPr="00E90F29" w:rsidRDefault="00EF3D4A" w:rsidP="00E90F29">
      <w:pPr>
        <w:pStyle w:val="Heading3"/>
        <w:ind w:left="1800"/>
      </w:pPr>
      <w:bookmarkStart w:id="40" w:name="_Toc513713982"/>
      <w:r w:rsidRPr="00E90F29">
        <w:t xml:space="preserve">3.8.1 </w:t>
      </w:r>
      <w:r w:rsidR="00E72A70" w:rsidRPr="00E90F29">
        <w:t>General considerations</w:t>
      </w:r>
      <w:bookmarkEnd w:id="40"/>
      <w:r w:rsidR="00E72A70" w:rsidRPr="00E90F29">
        <w:t xml:space="preserve"> </w:t>
      </w:r>
    </w:p>
    <w:p w14:paraId="3EC7F985" w14:textId="384FB7F9" w:rsidR="00881CFD" w:rsidRPr="00E90F29" w:rsidRDefault="00FD349B" w:rsidP="00E90F29">
      <w:pPr>
        <w:spacing w:before="100" w:beforeAutospacing="1" w:after="100" w:afterAutospacing="1" w:line="360" w:lineRule="auto"/>
        <w:jc w:val="both"/>
        <w:rPr>
          <w:rFonts w:ascii="Arial" w:hAnsi="Arial" w:cs="Arial"/>
          <w:sz w:val="22"/>
          <w:szCs w:val="22"/>
        </w:rPr>
      </w:pPr>
      <w:r w:rsidRPr="00E90F29">
        <w:rPr>
          <w:rFonts w:ascii="Arial" w:hAnsi="Arial" w:cs="Arial"/>
          <w:color w:val="000000"/>
          <w:sz w:val="22"/>
          <w:szCs w:val="22"/>
        </w:rPr>
        <w:t xml:space="preserve">As part of its work, the Panel has reviewed a number of complaints and issued decisions </w:t>
      </w:r>
      <w:r w:rsidR="002C4F2E" w:rsidRPr="00E90F29">
        <w:rPr>
          <w:rFonts w:ascii="Arial" w:hAnsi="Arial" w:cs="Arial"/>
          <w:color w:val="000000"/>
          <w:sz w:val="22"/>
          <w:szCs w:val="22"/>
        </w:rPr>
        <w:t xml:space="preserve">pertaining to the right to an effective remedy, as guaranteed </w:t>
      </w:r>
      <w:r w:rsidR="002C4F2E" w:rsidRPr="00E90F29">
        <w:rPr>
          <w:rFonts w:ascii="Arial" w:hAnsi="Arial" w:cs="Arial"/>
          <w:i/>
          <w:color w:val="000000"/>
          <w:sz w:val="22"/>
          <w:szCs w:val="22"/>
        </w:rPr>
        <w:t>inter alia</w:t>
      </w:r>
      <w:r w:rsidR="002C4F2E" w:rsidRPr="00E90F29">
        <w:rPr>
          <w:rFonts w:ascii="Arial" w:hAnsi="Arial" w:cs="Arial"/>
          <w:color w:val="000000"/>
          <w:sz w:val="22"/>
          <w:szCs w:val="22"/>
        </w:rPr>
        <w:t xml:space="preserve"> </w:t>
      </w:r>
      <w:r w:rsidRPr="00E90F29">
        <w:rPr>
          <w:rFonts w:ascii="Arial" w:hAnsi="Arial" w:cs="Arial"/>
          <w:color w:val="000000"/>
          <w:sz w:val="22"/>
          <w:szCs w:val="22"/>
        </w:rPr>
        <w:t>under Article 13 of the European</w:t>
      </w:r>
      <w:r w:rsidR="002C4F2E" w:rsidRPr="00E90F29">
        <w:rPr>
          <w:rFonts w:ascii="Arial" w:hAnsi="Arial" w:cs="Arial"/>
          <w:color w:val="000000"/>
          <w:sz w:val="22"/>
          <w:szCs w:val="22"/>
        </w:rPr>
        <w:t xml:space="preserve"> Convention and Article 2(3) of the ICCPR. </w:t>
      </w:r>
      <w:r w:rsidR="00881CFD" w:rsidRPr="00E90F29">
        <w:rPr>
          <w:rFonts w:ascii="Arial" w:hAnsi="Arial" w:cs="Arial"/>
          <w:color w:val="000000"/>
          <w:sz w:val="22"/>
          <w:szCs w:val="22"/>
        </w:rPr>
        <w:t>The right is a self-standing fundamental right.</w:t>
      </w:r>
      <w:r w:rsidR="00881CFD" w:rsidRPr="00E90F29">
        <w:rPr>
          <w:rStyle w:val="FootnoteReference"/>
          <w:rFonts w:ascii="Arial" w:hAnsi="Arial" w:cs="Arial"/>
          <w:color w:val="000000"/>
          <w:sz w:val="22"/>
          <w:szCs w:val="22"/>
        </w:rPr>
        <w:footnoteReference w:id="76"/>
      </w:r>
      <w:r w:rsidR="00881CFD" w:rsidRPr="00E90F29">
        <w:rPr>
          <w:rFonts w:ascii="Arial" w:hAnsi="Arial" w:cs="Arial"/>
          <w:color w:val="000000"/>
          <w:sz w:val="22"/>
          <w:szCs w:val="22"/>
        </w:rPr>
        <w:t xml:space="preserve"> Its scope of application </w:t>
      </w:r>
      <w:r w:rsidR="00881CFD" w:rsidRPr="00881CFD">
        <w:rPr>
          <w:rFonts w:ascii="Arial" w:hAnsi="Arial" w:cs="Arial"/>
          <w:sz w:val="22"/>
          <w:szCs w:val="22"/>
        </w:rPr>
        <w:t xml:space="preserve">varies depending on the nature of the applicant’s complaint. In every case, however, the remedy required by </w:t>
      </w:r>
      <w:r w:rsidR="00881CFD" w:rsidRPr="00881CFD">
        <w:rPr>
          <w:rFonts w:ascii="Arial" w:hAnsi="Arial" w:cs="Arial"/>
          <w:sz w:val="22"/>
          <w:szCs w:val="22"/>
        </w:rPr>
        <w:lastRenderedPageBreak/>
        <w:t>Article 13 must be “effective” in practice as well as in law</w:t>
      </w:r>
      <w:r w:rsidR="00881CFD" w:rsidRPr="00E90F29">
        <w:rPr>
          <w:rFonts w:ascii="Arial" w:hAnsi="Arial" w:cs="Arial"/>
          <w:sz w:val="22"/>
          <w:szCs w:val="22"/>
        </w:rPr>
        <w:t>.</w:t>
      </w:r>
      <w:r w:rsidR="00881CFD" w:rsidRPr="00E90F29">
        <w:rPr>
          <w:rStyle w:val="FootnoteReference"/>
          <w:rFonts w:ascii="Arial" w:hAnsi="Arial" w:cs="Arial"/>
          <w:sz w:val="22"/>
          <w:szCs w:val="22"/>
        </w:rPr>
        <w:footnoteReference w:id="77"/>
      </w:r>
      <w:r w:rsidR="00051E96" w:rsidRPr="00E90F29">
        <w:rPr>
          <w:rFonts w:ascii="Arial" w:hAnsi="Arial" w:cs="Arial"/>
          <w:sz w:val="22"/>
          <w:szCs w:val="22"/>
        </w:rPr>
        <w:t xml:space="preserve"> To be effective, the remedy must be able to address the violation complained of.</w:t>
      </w:r>
      <w:r w:rsidR="00051E96" w:rsidRPr="00E90F29">
        <w:rPr>
          <w:rStyle w:val="FootnoteReference"/>
          <w:rFonts w:ascii="Arial" w:hAnsi="Arial" w:cs="Arial"/>
          <w:sz w:val="22"/>
          <w:szCs w:val="22"/>
        </w:rPr>
        <w:footnoteReference w:id="78"/>
      </w:r>
      <w:r w:rsidR="00051E96" w:rsidRPr="00E90F29">
        <w:rPr>
          <w:rFonts w:ascii="Arial" w:hAnsi="Arial" w:cs="Arial"/>
          <w:sz w:val="22"/>
          <w:szCs w:val="22"/>
        </w:rPr>
        <w:t xml:space="preserve"> </w:t>
      </w:r>
    </w:p>
    <w:p w14:paraId="4225CA01" w14:textId="077C0436" w:rsidR="00881CFD" w:rsidRPr="00881CFD" w:rsidRDefault="00881CFD" w:rsidP="00E90F29">
      <w:pPr>
        <w:spacing w:before="100" w:beforeAutospacing="1" w:after="100" w:afterAutospacing="1" w:line="360" w:lineRule="auto"/>
        <w:jc w:val="both"/>
        <w:rPr>
          <w:rFonts w:ascii="Arial" w:hAnsi="Arial" w:cs="Arial"/>
          <w:sz w:val="22"/>
          <w:szCs w:val="22"/>
        </w:rPr>
      </w:pPr>
      <w:r w:rsidRPr="00E90F29">
        <w:rPr>
          <w:rFonts w:ascii="Arial" w:hAnsi="Arial" w:cs="Arial"/>
          <w:sz w:val="22"/>
          <w:szCs w:val="22"/>
        </w:rPr>
        <w:t>Where alleged failure by the authorities to protect persons from the acts of others is concerned, Article 13 may not always require that the authorities undertake the responsibility for investigating th</w:t>
      </w:r>
      <w:r w:rsidRPr="00E90F29">
        <w:rPr>
          <w:rFonts w:ascii="Arial" w:hAnsi="Arial" w:cs="Arial"/>
          <w:sz w:val="22"/>
          <w:szCs w:val="22"/>
        </w:rPr>
        <w:t>e allegations</w:t>
      </w:r>
      <w:r w:rsidRPr="00E90F29">
        <w:rPr>
          <w:rFonts w:ascii="Arial" w:hAnsi="Arial" w:cs="Arial"/>
          <w:sz w:val="22"/>
          <w:szCs w:val="22"/>
        </w:rPr>
        <w:t>.</w:t>
      </w:r>
      <w:r w:rsidRPr="00E90F29">
        <w:rPr>
          <w:rStyle w:val="FootnoteReference"/>
          <w:rFonts w:ascii="Arial" w:hAnsi="Arial" w:cs="Arial"/>
          <w:sz w:val="22"/>
          <w:szCs w:val="22"/>
        </w:rPr>
        <w:footnoteReference w:id="79"/>
      </w:r>
      <w:r w:rsidRPr="00E90F29">
        <w:rPr>
          <w:rFonts w:ascii="Arial" w:hAnsi="Arial" w:cs="Arial"/>
          <w:sz w:val="22"/>
          <w:szCs w:val="22"/>
        </w:rPr>
        <w:t xml:space="preserve"> Nevertheless, where such a remedy exists, it must be effective, that is, capable of providing redress and offered r</w:t>
      </w:r>
      <w:r w:rsidRPr="00E90F29">
        <w:rPr>
          <w:rFonts w:ascii="Arial" w:hAnsi="Arial" w:cs="Arial"/>
          <w:sz w:val="22"/>
          <w:szCs w:val="22"/>
        </w:rPr>
        <w:t>easonable prospects of success</w:t>
      </w:r>
      <w:r w:rsidRPr="00E90F29">
        <w:rPr>
          <w:rFonts w:ascii="Arial" w:hAnsi="Arial" w:cs="Arial"/>
          <w:sz w:val="22"/>
          <w:szCs w:val="22"/>
        </w:rPr>
        <w:t>.</w:t>
      </w:r>
      <w:r w:rsidRPr="00E90F29">
        <w:rPr>
          <w:rStyle w:val="FootnoteReference"/>
          <w:rFonts w:ascii="Arial" w:hAnsi="Arial" w:cs="Arial"/>
          <w:sz w:val="22"/>
          <w:szCs w:val="22"/>
        </w:rPr>
        <w:footnoteReference w:id="80"/>
      </w:r>
    </w:p>
    <w:p w14:paraId="76B48DE6" w14:textId="35E112DC" w:rsidR="00E7183E" w:rsidRPr="00E90F29" w:rsidRDefault="00881CFD" w:rsidP="00E90F29">
      <w:pPr>
        <w:spacing w:before="100" w:beforeAutospacing="1" w:after="100" w:afterAutospacing="1" w:line="360" w:lineRule="auto"/>
        <w:jc w:val="both"/>
        <w:rPr>
          <w:rFonts w:ascii="Arial" w:hAnsi="Arial" w:cs="Arial"/>
          <w:color w:val="000000"/>
          <w:sz w:val="22"/>
          <w:szCs w:val="22"/>
        </w:rPr>
      </w:pPr>
      <w:r w:rsidRPr="00E90F29">
        <w:rPr>
          <w:rFonts w:ascii="Arial" w:hAnsi="Arial" w:cs="Arial"/>
          <w:color w:val="000000"/>
          <w:sz w:val="22"/>
          <w:szCs w:val="22"/>
        </w:rPr>
        <w:t>Regarding the substance of that right</w:t>
      </w:r>
      <w:r w:rsidR="00E7183E" w:rsidRPr="00E90F29">
        <w:rPr>
          <w:rFonts w:ascii="Arial" w:hAnsi="Arial" w:cs="Arial"/>
          <w:color w:val="000000"/>
          <w:sz w:val="22"/>
          <w:szCs w:val="22"/>
        </w:rPr>
        <w:t xml:space="preserve">, the Panel </w:t>
      </w:r>
      <w:r w:rsidRPr="00E90F29">
        <w:rPr>
          <w:rFonts w:ascii="Arial" w:hAnsi="Arial" w:cs="Arial"/>
          <w:color w:val="000000"/>
          <w:sz w:val="22"/>
          <w:szCs w:val="22"/>
        </w:rPr>
        <w:t>said the following in general terms</w:t>
      </w:r>
      <w:r w:rsidR="00E7183E" w:rsidRPr="00E90F29">
        <w:rPr>
          <w:rFonts w:ascii="Arial" w:hAnsi="Arial" w:cs="Arial"/>
          <w:color w:val="000000"/>
          <w:sz w:val="22"/>
          <w:szCs w:val="22"/>
        </w:rPr>
        <w:t>:</w:t>
      </w:r>
    </w:p>
    <w:p w14:paraId="3001D6B1" w14:textId="71D9EE81" w:rsidR="0012182F" w:rsidRPr="00E90F29" w:rsidRDefault="00E7183E" w:rsidP="00E90F29">
      <w:pPr>
        <w:spacing w:before="100" w:beforeAutospacing="1" w:after="100" w:afterAutospacing="1" w:line="360" w:lineRule="auto"/>
        <w:ind w:left="567"/>
        <w:jc w:val="both"/>
        <w:rPr>
          <w:rFonts w:ascii="Arial" w:hAnsi="Arial" w:cs="Arial"/>
          <w:color w:val="000000"/>
          <w:sz w:val="22"/>
          <w:szCs w:val="22"/>
        </w:rPr>
      </w:pPr>
      <w:r w:rsidRPr="00E90F29">
        <w:rPr>
          <w:rFonts w:ascii="Arial" w:hAnsi="Arial" w:cs="Arial"/>
          <w:color w:val="000000"/>
          <w:sz w:val="22"/>
          <w:szCs w:val="22"/>
        </w:rPr>
        <w:t>“</w:t>
      </w:r>
      <w:r w:rsidR="0012182F" w:rsidRPr="00E90F29">
        <w:rPr>
          <w:rFonts w:ascii="Arial" w:hAnsi="Arial" w:cs="Arial"/>
          <w:sz w:val="22"/>
          <w:szCs w:val="22"/>
          <w:lang w:val="en-GB"/>
        </w:rPr>
        <w:t>The Panel reiterates the approach of the European Court of Human Rights (hereinafter “the Court”) whereby “</w:t>
      </w:r>
      <w:r w:rsidR="0012182F" w:rsidRPr="00E90F29">
        <w:rPr>
          <w:rFonts w:ascii="Arial" w:hAnsi="Arial" w:cs="Arial"/>
          <w:i/>
          <w:sz w:val="22"/>
          <w:szCs w:val="22"/>
        </w:rPr>
        <w:t xml:space="preserve">Article 13 states that any individual whose Convention rights and freedoms "are violated" is to have an effective remedy before a national authority even where "the violation has been committed" by persons in an official capacity. This provision, read literally, seems to say that a person is entitled to a national remedy only if a "violation" has occurred. However, a person cannot establish a "violation" before a national authority unless he is first able to lodge with such an authority a complaint to that effect. Consequently, (…) it cannot be a prerequisite for the application of Article 13 that the Convention be in fact violated. In the Court’s view, Article 13 requires that where an individual considers himself to have been prejudiced by a measure allegedly in breach of the Convention, he should have a remedy before a national authority in order both to have his claim decided and, if appropriate, to obtain redress </w:t>
      </w:r>
      <w:r w:rsidR="0012182F" w:rsidRPr="00E90F29">
        <w:rPr>
          <w:rFonts w:ascii="Arial" w:hAnsi="Arial" w:cs="Arial"/>
          <w:sz w:val="22"/>
          <w:szCs w:val="22"/>
        </w:rPr>
        <w:t xml:space="preserve">(see </w:t>
      </w:r>
      <w:proofErr w:type="spellStart"/>
      <w:r w:rsidR="0012182F" w:rsidRPr="00E90F29">
        <w:rPr>
          <w:rFonts w:ascii="Arial" w:hAnsi="Arial" w:cs="Arial"/>
          <w:i/>
          <w:sz w:val="22"/>
          <w:szCs w:val="22"/>
        </w:rPr>
        <w:t>Klass</w:t>
      </w:r>
      <w:proofErr w:type="spellEnd"/>
      <w:r w:rsidR="0012182F" w:rsidRPr="00E90F29">
        <w:rPr>
          <w:rFonts w:ascii="Arial" w:hAnsi="Arial" w:cs="Arial"/>
          <w:i/>
          <w:sz w:val="22"/>
          <w:szCs w:val="22"/>
        </w:rPr>
        <w:t xml:space="preserve"> v. Germany</w:t>
      </w:r>
      <w:r w:rsidR="0012182F" w:rsidRPr="00E90F29">
        <w:rPr>
          <w:rFonts w:ascii="Arial" w:hAnsi="Arial" w:cs="Arial"/>
          <w:sz w:val="22"/>
          <w:szCs w:val="22"/>
        </w:rPr>
        <w:t>, no. 5029/71, judgment of 6 September 1978, at par 64).</w:t>
      </w:r>
      <w:r w:rsidRPr="00E90F29">
        <w:rPr>
          <w:rFonts w:ascii="Arial" w:hAnsi="Arial" w:cs="Arial"/>
          <w:sz w:val="22"/>
          <w:szCs w:val="22"/>
        </w:rPr>
        <w:t>”</w:t>
      </w:r>
      <w:r w:rsidRPr="00E90F29">
        <w:rPr>
          <w:rStyle w:val="FootnoteReference"/>
          <w:rFonts w:ascii="Arial" w:hAnsi="Arial" w:cs="Arial"/>
          <w:sz w:val="22"/>
          <w:szCs w:val="22"/>
        </w:rPr>
        <w:footnoteReference w:id="81"/>
      </w:r>
    </w:p>
    <w:p w14:paraId="519621E3" w14:textId="77777777" w:rsidR="0012182F" w:rsidRPr="00E90F29" w:rsidRDefault="0012182F" w:rsidP="00E90F29">
      <w:pPr>
        <w:pStyle w:val="ListParagraph"/>
        <w:suppressAutoHyphens/>
        <w:spacing w:line="360" w:lineRule="auto"/>
        <w:ind w:left="567"/>
        <w:jc w:val="both"/>
        <w:rPr>
          <w:rFonts w:ascii="Arial" w:hAnsi="Arial" w:cs="Arial"/>
          <w:sz w:val="22"/>
          <w:szCs w:val="22"/>
          <w:lang w:val="en-GB"/>
        </w:rPr>
      </w:pPr>
    </w:p>
    <w:p w14:paraId="2BA8B5F9" w14:textId="092EFC3B" w:rsidR="00E72A70" w:rsidRPr="00E90F29" w:rsidRDefault="0012182F" w:rsidP="00E90F29">
      <w:pPr>
        <w:spacing w:line="360" w:lineRule="auto"/>
        <w:jc w:val="both"/>
        <w:rPr>
          <w:rFonts w:ascii="Arial" w:hAnsi="Arial" w:cs="Arial"/>
          <w:sz w:val="22"/>
          <w:szCs w:val="22"/>
        </w:rPr>
      </w:pPr>
      <w:r w:rsidRPr="00E90F29">
        <w:rPr>
          <w:rFonts w:ascii="Arial" w:hAnsi="Arial" w:cs="Arial"/>
          <w:sz w:val="22"/>
          <w:szCs w:val="22"/>
        </w:rPr>
        <w:lastRenderedPageBreak/>
        <w:t xml:space="preserve">The </w:t>
      </w:r>
      <w:r w:rsidR="00E7183E" w:rsidRPr="00E90F29">
        <w:rPr>
          <w:rFonts w:ascii="Arial" w:hAnsi="Arial" w:cs="Arial"/>
          <w:sz w:val="22"/>
          <w:szCs w:val="22"/>
        </w:rPr>
        <w:t>Panel added</w:t>
      </w:r>
      <w:r w:rsidRPr="00E90F29">
        <w:rPr>
          <w:rFonts w:ascii="Arial" w:hAnsi="Arial" w:cs="Arial"/>
          <w:sz w:val="22"/>
          <w:szCs w:val="22"/>
        </w:rPr>
        <w:t xml:space="preserve"> that “[t]</w:t>
      </w:r>
      <w:r w:rsidRPr="00E90F29">
        <w:rPr>
          <w:rFonts w:ascii="Arial" w:hAnsi="Arial" w:cs="Arial"/>
          <w:i/>
          <w:sz w:val="22"/>
          <w:szCs w:val="22"/>
        </w:rPr>
        <w:t>he effect of Article 13 is thus to require the provision of a […] remedy to deal with the substance of an “arguable complaint” under the Convention and to grant appropriate relief</w:t>
      </w:r>
      <w:r w:rsidR="00E7183E" w:rsidRPr="00E90F29">
        <w:rPr>
          <w:rFonts w:ascii="Arial" w:hAnsi="Arial" w:cs="Arial"/>
          <w:sz w:val="22"/>
          <w:szCs w:val="22"/>
        </w:rPr>
        <w:t>”</w:t>
      </w:r>
      <w:r w:rsidRPr="00E90F29">
        <w:rPr>
          <w:rFonts w:ascii="Arial" w:hAnsi="Arial" w:cs="Arial"/>
          <w:sz w:val="22"/>
          <w:szCs w:val="22"/>
        </w:rPr>
        <w:t>.</w:t>
      </w:r>
      <w:r w:rsidR="00E7183E" w:rsidRPr="00E90F29">
        <w:rPr>
          <w:rStyle w:val="FootnoteReference"/>
          <w:rFonts w:ascii="Arial" w:hAnsi="Arial" w:cs="Arial"/>
          <w:sz w:val="22"/>
          <w:szCs w:val="22"/>
        </w:rPr>
        <w:footnoteReference w:id="82"/>
      </w:r>
      <w:r w:rsidRPr="00E90F29">
        <w:rPr>
          <w:rFonts w:ascii="Arial" w:hAnsi="Arial" w:cs="Arial"/>
          <w:sz w:val="22"/>
          <w:szCs w:val="22"/>
        </w:rPr>
        <w:t xml:space="preserve"> The Panel </w:t>
      </w:r>
      <w:r w:rsidR="00791EDE" w:rsidRPr="00E90F29">
        <w:rPr>
          <w:rFonts w:ascii="Arial" w:hAnsi="Arial" w:cs="Arial"/>
          <w:sz w:val="22"/>
          <w:szCs w:val="22"/>
        </w:rPr>
        <w:t>also adopted the view of the European Court of Human Rights that such a right should exist whenever the claim of right violation is arguable.</w:t>
      </w:r>
      <w:r w:rsidR="00791EDE" w:rsidRPr="00E90F29">
        <w:rPr>
          <w:rStyle w:val="FootnoteReference"/>
          <w:rFonts w:ascii="Arial" w:hAnsi="Arial" w:cs="Arial"/>
          <w:sz w:val="22"/>
          <w:szCs w:val="22"/>
        </w:rPr>
        <w:footnoteReference w:id="83"/>
      </w:r>
    </w:p>
    <w:p w14:paraId="72D5FF57" w14:textId="77777777" w:rsidR="00F17407" w:rsidRPr="00E90F29" w:rsidRDefault="00F17407" w:rsidP="00E90F29">
      <w:pPr>
        <w:spacing w:line="360" w:lineRule="auto"/>
        <w:jc w:val="both"/>
        <w:rPr>
          <w:rFonts w:ascii="Arial" w:hAnsi="Arial" w:cs="Arial"/>
          <w:sz w:val="22"/>
          <w:szCs w:val="22"/>
        </w:rPr>
      </w:pPr>
    </w:p>
    <w:p w14:paraId="54904C38" w14:textId="24CD89C7" w:rsidR="00F17407" w:rsidRPr="00E90F29" w:rsidRDefault="00F17407" w:rsidP="00E90F29">
      <w:pPr>
        <w:spacing w:line="360" w:lineRule="auto"/>
        <w:jc w:val="both"/>
        <w:rPr>
          <w:rFonts w:ascii="Arial" w:hAnsi="Arial" w:cs="Arial"/>
          <w:sz w:val="22"/>
          <w:szCs w:val="22"/>
        </w:rPr>
      </w:pPr>
      <w:r w:rsidRPr="00E90F29">
        <w:rPr>
          <w:rFonts w:ascii="Arial" w:hAnsi="Arial" w:cs="Arial"/>
          <w:sz w:val="22"/>
          <w:szCs w:val="22"/>
        </w:rPr>
        <w:t>The Panel noted, however, that the specificity of a rule of law mission, as distinct from a state, might impact the nature of the remedy to be offered.</w:t>
      </w:r>
      <w:r w:rsidRPr="00E90F29">
        <w:rPr>
          <w:rStyle w:val="FootnoteReference"/>
          <w:rFonts w:ascii="Arial" w:hAnsi="Arial" w:cs="Arial"/>
          <w:sz w:val="22"/>
          <w:szCs w:val="22"/>
        </w:rPr>
        <w:footnoteReference w:id="84"/>
      </w:r>
    </w:p>
    <w:p w14:paraId="0CCCA9B3" w14:textId="77777777" w:rsidR="0012182F" w:rsidRPr="00E90F29" w:rsidRDefault="0012182F" w:rsidP="00E90F29">
      <w:pPr>
        <w:spacing w:line="360" w:lineRule="auto"/>
        <w:jc w:val="both"/>
        <w:rPr>
          <w:rFonts w:ascii="Arial" w:hAnsi="Arial" w:cs="Arial"/>
          <w:sz w:val="22"/>
          <w:szCs w:val="22"/>
          <w:lang w:val="en-GB"/>
        </w:rPr>
      </w:pPr>
    </w:p>
    <w:p w14:paraId="0259D832" w14:textId="3835B20C" w:rsidR="00E72A70" w:rsidRPr="00E90F29" w:rsidRDefault="00AC5B01" w:rsidP="00E90F29">
      <w:pPr>
        <w:pStyle w:val="Heading3"/>
      </w:pPr>
      <w:bookmarkStart w:id="41" w:name="_Toc513713983"/>
      <w:r w:rsidRPr="00E90F29">
        <w:t>3.</w:t>
      </w:r>
      <w:r w:rsidR="00F71527" w:rsidRPr="00E90F29">
        <w:t>8</w:t>
      </w:r>
      <w:r w:rsidRPr="00E90F29">
        <w:t xml:space="preserve">.2 </w:t>
      </w:r>
      <w:r w:rsidR="00E72A70" w:rsidRPr="00E90F29">
        <w:t>Organisation and transfer of files</w:t>
      </w:r>
      <w:bookmarkEnd w:id="41"/>
      <w:r w:rsidR="00E72A70" w:rsidRPr="00E90F29">
        <w:t xml:space="preserve"> </w:t>
      </w:r>
    </w:p>
    <w:p w14:paraId="5224ECF2" w14:textId="77777777" w:rsidR="00E72A70" w:rsidRPr="00E90F29" w:rsidRDefault="00E72A70" w:rsidP="00E90F29">
      <w:pPr>
        <w:spacing w:line="360" w:lineRule="auto"/>
        <w:jc w:val="both"/>
        <w:rPr>
          <w:rFonts w:ascii="Arial" w:hAnsi="Arial" w:cs="Arial"/>
          <w:sz w:val="22"/>
          <w:szCs w:val="22"/>
          <w:lang w:val="en-GB"/>
        </w:rPr>
      </w:pPr>
    </w:p>
    <w:p w14:paraId="6E90436C" w14:textId="6BD8C3F0" w:rsidR="00051E96" w:rsidRPr="00E90F29" w:rsidRDefault="00051E96" w:rsidP="00E90F29">
      <w:pPr>
        <w:spacing w:line="360" w:lineRule="auto"/>
        <w:jc w:val="both"/>
        <w:rPr>
          <w:rFonts w:ascii="Arial" w:hAnsi="Arial" w:cs="Arial"/>
          <w:sz w:val="22"/>
          <w:szCs w:val="22"/>
        </w:rPr>
      </w:pPr>
      <w:r w:rsidRPr="00E90F29">
        <w:rPr>
          <w:rFonts w:ascii="Arial" w:hAnsi="Arial" w:cs="Arial"/>
          <w:sz w:val="22"/>
          <w:szCs w:val="22"/>
          <w:lang w:val="en-GB"/>
        </w:rPr>
        <w:t xml:space="preserve">This right might also require the authorities to </w:t>
      </w:r>
      <w:r w:rsidRPr="00E90F29">
        <w:rPr>
          <w:rFonts w:ascii="Arial" w:hAnsi="Arial" w:cs="Arial"/>
          <w:sz w:val="22"/>
          <w:szCs w:val="22"/>
        </w:rPr>
        <w:t>diligently record and, in turn, duly register grievances</w:t>
      </w:r>
      <w:r w:rsidRPr="00E90F29">
        <w:rPr>
          <w:rFonts w:ascii="Arial" w:hAnsi="Arial" w:cs="Arial"/>
          <w:sz w:val="22"/>
          <w:szCs w:val="22"/>
        </w:rPr>
        <w:t xml:space="preserve"> brought to its attention.</w:t>
      </w:r>
      <w:r w:rsidRPr="00E90F29">
        <w:rPr>
          <w:rStyle w:val="FootnoteReference"/>
          <w:rFonts w:ascii="Arial" w:hAnsi="Arial" w:cs="Arial"/>
          <w:sz w:val="22"/>
          <w:szCs w:val="22"/>
        </w:rPr>
        <w:footnoteReference w:id="85"/>
      </w:r>
      <w:r w:rsidRPr="00E90F29">
        <w:rPr>
          <w:rFonts w:ascii="Arial" w:hAnsi="Arial" w:cs="Arial"/>
          <w:sz w:val="22"/>
          <w:szCs w:val="22"/>
        </w:rPr>
        <w:t xml:space="preserve"> In the </w:t>
      </w:r>
      <w:proofErr w:type="spellStart"/>
      <w:r w:rsidRPr="00E90F29">
        <w:rPr>
          <w:rFonts w:ascii="Arial" w:hAnsi="Arial" w:cs="Arial"/>
          <w:i/>
          <w:sz w:val="22"/>
          <w:szCs w:val="22"/>
        </w:rPr>
        <w:t>Becic</w:t>
      </w:r>
      <w:proofErr w:type="spellEnd"/>
      <w:r w:rsidRPr="00E90F29">
        <w:rPr>
          <w:rFonts w:ascii="Arial" w:hAnsi="Arial" w:cs="Arial"/>
          <w:sz w:val="22"/>
          <w:szCs w:val="22"/>
        </w:rPr>
        <w:t xml:space="preserve"> case, the Panel thus found a violation of the complainant’s right to an effective remedy based on the Mission’s failure to put in place a reliable system of </w:t>
      </w:r>
      <w:r w:rsidRPr="00E90F29">
        <w:rPr>
          <w:rFonts w:ascii="Arial" w:hAnsi="Arial" w:cs="Arial"/>
          <w:sz w:val="22"/>
          <w:szCs w:val="22"/>
        </w:rPr>
        <w:t>recording and registering complaints involving allegations of violations of rights</w:t>
      </w:r>
      <w:r w:rsidRPr="00E90F29">
        <w:rPr>
          <w:rFonts w:ascii="Arial" w:hAnsi="Arial" w:cs="Arial"/>
          <w:sz w:val="22"/>
          <w:szCs w:val="22"/>
        </w:rPr>
        <w:t>, which resulted in the case of the complainant not being adequately investigated:</w:t>
      </w:r>
    </w:p>
    <w:p w14:paraId="74FC8843" w14:textId="77777777" w:rsidR="00051E96" w:rsidRPr="00E90F29" w:rsidRDefault="00051E96" w:rsidP="00E90F29">
      <w:pPr>
        <w:spacing w:line="360" w:lineRule="auto"/>
        <w:jc w:val="both"/>
        <w:rPr>
          <w:rFonts w:ascii="Arial" w:hAnsi="Arial" w:cs="Arial"/>
          <w:sz w:val="22"/>
          <w:szCs w:val="22"/>
        </w:rPr>
      </w:pPr>
    </w:p>
    <w:p w14:paraId="1DEDAFCD" w14:textId="673E299E" w:rsidR="00051E96" w:rsidRPr="00E90F29" w:rsidRDefault="00051E96" w:rsidP="00E90F29">
      <w:pPr>
        <w:spacing w:line="360" w:lineRule="auto"/>
        <w:ind w:left="567"/>
        <w:jc w:val="both"/>
        <w:rPr>
          <w:rFonts w:ascii="Arial" w:hAnsi="Arial" w:cs="Arial"/>
          <w:sz w:val="22"/>
          <w:szCs w:val="22"/>
        </w:rPr>
      </w:pPr>
      <w:r w:rsidRPr="00E90F29">
        <w:rPr>
          <w:rFonts w:ascii="Arial" w:hAnsi="Arial" w:cs="Arial"/>
          <w:sz w:val="22"/>
          <w:szCs w:val="22"/>
        </w:rPr>
        <w:t>“</w:t>
      </w:r>
      <w:r w:rsidRPr="00E90F29">
        <w:rPr>
          <w:rFonts w:ascii="Arial" w:hAnsi="Arial" w:cs="Arial"/>
          <w:sz w:val="22"/>
          <w:szCs w:val="22"/>
        </w:rPr>
        <w:t xml:space="preserve">The failure of EULEX at the time to put in place a reliable system of recording and registering complaints involving allegations of violations of rights resulted in the case of the complainant remaining dormant for a period of approximately two years and nine months. During that period, EULEX was therefore not diligently discharging its mandate in relation to that complaint. The fact that the Kosovo authorities were also competent in relation to this matter does not discharge </w:t>
      </w:r>
      <w:r w:rsidRPr="00E90F29">
        <w:rPr>
          <w:rFonts w:ascii="Arial" w:hAnsi="Arial" w:cs="Arial"/>
          <w:sz w:val="22"/>
          <w:szCs w:val="22"/>
        </w:rPr>
        <w:lastRenderedPageBreak/>
        <w:t>EULEX of its own obligations to act at all times in a manner that is consistent with minimum standards of huma</w:t>
      </w:r>
      <w:r w:rsidRPr="00E90F29">
        <w:rPr>
          <w:rFonts w:ascii="Arial" w:hAnsi="Arial" w:cs="Arial"/>
          <w:sz w:val="22"/>
          <w:szCs w:val="22"/>
        </w:rPr>
        <w:t>n rights.”</w:t>
      </w:r>
      <w:r w:rsidRPr="00E90F29">
        <w:rPr>
          <w:rStyle w:val="FootnoteReference"/>
          <w:rFonts w:ascii="Arial" w:hAnsi="Arial" w:cs="Arial"/>
          <w:sz w:val="22"/>
          <w:szCs w:val="22"/>
        </w:rPr>
        <w:footnoteReference w:id="86"/>
      </w:r>
    </w:p>
    <w:p w14:paraId="51C3A34C" w14:textId="77777777" w:rsidR="00051E96" w:rsidRPr="00E90F29" w:rsidRDefault="00051E96" w:rsidP="00E90F29">
      <w:pPr>
        <w:spacing w:line="360" w:lineRule="auto"/>
        <w:jc w:val="both"/>
        <w:rPr>
          <w:rFonts w:ascii="Arial" w:hAnsi="Arial" w:cs="Arial"/>
          <w:sz w:val="22"/>
          <w:szCs w:val="22"/>
          <w:lang w:val="en-GB"/>
        </w:rPr>
      </w:pPr>
    </w:p>
    <w:p w14:paraId="1F1D8988" w14:textId="77777777" w:rsidR="00E72A70" w:rsidRPr="00E90F29" w:rsidRDefault="00E72A70" w:rsidP="00E90F29">
      <w:pPr>
        <w:spacing w:line="360" w:lineRule="auto"/>
        <w:jc w:val="both"/>
        <w:rPr>
          <w:rFonts w:ascii="Arial" w:hAnsi="Arial" w:cs="Arial"/>
          <w:sz w:val="22"/>
          <w:szCs w:val="22"/>
          <w:lang w:val="en-GB"/>
        </w:rPr>
      </w:pPr>
    </w:p>
    <w:p w14:paraId="747ACBEF" w14:textId="1D15AEF5" w:rsidR="00E72A70" w:rsidRPr="00E90F29" w:rsidRDefault="00AC5B01" w:rsidP="00E90F29">
      <w:pPr>
        <w:pStyle w:val="Heading3"/>
      </w:pPr>
      <w:bookmarkStart w:id="42" w:name="_Toc513713984"/>
      <w:r w:rsidRPr="00E90F29">
        <w:t>3.</w:t>
      </w:r>
      <w:r w:rsidR="00F71527" w:rsidRPr="00E90F29">
        <w:t>8</w:t>
      </w:r>
      <w:r w:rsidRPr="00E90F29">
        <w:t xml:space="preserve">.3 </w:t>
      </w:r>
      <w:r w:rsidR="00E72A70" w:rsidRPr="00E90F29">
        <w:t xml:space="preserve">Duty to investigate </w:t>
      </w:r>
      <w:r w:rsidR="008B710E" w:rsidRPr="00E90F29">
        <w:t>and to provide information to victims or their relatives</w:t>
      </w:r>
      <w:bookmarkEnd w:id="42"/>
    </w:p>
    <w:p w14:paraId="759D3202" w14:textId="390AF460" w:rsidR="00FD349B" w:rsidRPr="00E90F29" w:rsidRDefault="002C4F2E" w:rsidP="00E90F29">
      <w:pPr>
        <w:spacing w:before="100" w:beforeAutospacing="1" w:after="100" w:afterAutospacing="1" w:line="360" w:lineRule="auto"/>
        <w:jc w:val="both"/>
        <w:rPr>
          <w:rFonts w:ascii="Arial" w:hAnsi="Arial" w:cs="Arial"/>
          <w:color w:val="000000"/>
          <w:sz w:val="22"/>
          <w:szCs w:val="22"/>
        </w:rPr>
      </w:pPr>
      <w:r w:rsidRPr="00E90F29">
        <w:rPr>
          <w:rFonts w:ascii="Arial" w:hAnsi="Arial" w:cs="Arial"/>
          <w:color w:val="000000"/>
          <w:sz w:val="22"/>
          <w:szCs w:val="22"/>
        </w:rPr>
        <w:t xml:space="preserve">In combination with other fundamental rights, the right to an effective remedy might require of the authorities that they diligently investigate credible allegations of rights violation. This can be illustrated by </w:t>
      </w:r>
      <w:r w:rsidR="00FD349B" w:rsidRPr="00E90F29">
        <w:rPr>
          <w:rFonts w:ascii="Arial" w:hAnsi="Arial" w:cs="Arial"/>
          <w:color w:val="000000"/>
          <w:sz w:val="22"/>
          <w:szCs w:val="22"/>
        </w:rPr>
        <w:t xml:space="preserve">Case No. 2011-20, </w:t>
      </w:r>
      <w:r w:rsidR="00FD349B" w:rsidRPr="00E90F29">
        <w:rPr>
          <w:rFonts w:ascii="Arial" w:hAnsi="Arial" w:cs="Arial"/>
          <w:i/>
          <w:color w:val="000000"/>
          <w:sz w:val="22"/>
          <w:szCs w:val="22"/>
        </w:rPr>
        <w:t>X and 115 Others Against EULEX</w:t>
      </w:r>
      <w:r w:rsidR="00FD349B" w:rsidRPr="00E90F29">
        <w:rPr>
          <w:rFonts w:ascii="Arial" w:hAnsi="Arial" w:cs="Arial"/>
          <w:color w:val="000000"/>
          <w:sz w:val="22"/>
          <w:szCs w:val="22"/>
        </w:rPr>
        <w:t xml:space="preserve">, (“The Roma lead poisoning case”). The complainants were part of a larger group of approximately six hundred Kosovo Roma, </w:t>
      </w:r>
      <w:proofErr w:type="spellStart"/>
      <w:r w:rsidR="00FD349B" w:rsidRPr="00E90F29">
        <w:rPr>
          <w:rFonts w:ascii="Arial" w:hAnsi="Arial" w:cs="Arial"/>
          <w:color w:val="000000"/>
          <w:sz w:val="22"/>
          <w:szCs w:val="22"/>
        </w:rPr>
        <w:t>Ashkali</w:t>
      </w:r>
      <w:proofErr w:type="spellEnd"/>
      <w:r w:rsidR="00FD349B" w:rsidRPr="00E90F29">
        <w:rPr>
          <w:rFonts w:ascii="Arial" w:hAnsi="Arial" w:cs="Arial"/>
          <w:color w:val="000000"/>
          <w:sz w:val="22"/>
          <w:szCs w:val="22"/>
        </w:rPr>
        <w:t xml:space="preserve"> and Egyptians who were displaced during the armed conflict in Kosovo in 1999. Their homes had been destroyed in 1999 and they were subsequently housed in camps in northern </w:t>
      </w:r>
      <w:proofErr w:type="spellStart"/>
      <w:r w:rsidR="00FD349B" w:rsidRPr="00E90F29">
        <w:rPr>
          <w:rFonts w:ascii="Arial" w:hAnsi="Arial" w:cs="Arial"/>
          <w:color w:val="000000"/>
          <w:sz w:val="22"/>
          <w:szCs w:val="22"/>
        </w:rPr>
        <w:t>Mitrovica</w:t>
      </w:r>
      <w:proofErr w:type="spellEnd"/>
      <w:r w:rsidR="00FD349B" w:rsidRPr="00E90F29">
        <w:rPr>
          <w:rFonts w:ascii="Arial" w:hAnsi="Arial" w:cs="Arial"/>
          <w:color w:val="000000"/>
          <w:sz w:val="22"/>
          <w:szCs w:val="22"/>
        </w:rPr>
        <w:t xml:space="preserve">. These camps had been polluted as they were situated near the </w:t>
      </w:r>
      <w:proofErr w:type="spellStart"/>
      <w:r w:rsidR="00FD349B" w:rsidRPr="00E90F29">
        <w:rPr>
          <w:rFonts w:ascii="Arial" w:hAnsi="Arial" w:cs="Arial"/>
          <w:color w:val="000000"/>
          <w:sz w:val="22"/>
          <w:szCs w:val="22"/>
        </w:rPr>
        <w:t>Trepce</w:t>
      </w:r>
      <w:proofErr w:type="spellEnd"/>
      <w:r w:rsidR="00FD349B" w:rsidRPr="00E90F29">
        <w:rPr>
          <w:rFonts w:ascii="Arial" w:hAnsi="Arial" w:cs="Arial"/>
          <w:color w:val="000000"/>
          <w:sz w:val="22"/>
          <w:szCs w:val="22"/>
        </w:rPr>
        <w:t xml:space="preserve"> Mines in </w:t>
      </w:r>
      <w:proofErr w:type="spellStart"/>
      <w:r w:rsidR="00FD349B" w:rsidRPr="00E90F29">
        <w:rPr>
          <w:rFonts w:ascii="Arial" w:hAnsi="Arial" w:cs="Arial"/>
          <w:color w:val="000000"/>
          <w:sz w:val="22"/>
          <w:szCs w:val="22"/>
        </w:rPr>
        <w:t>Mitrovica</w:t>
      </w:r>
      <w:proofErr w:type="spellEnd"/>
      <w:r w:rsidR="00FD349B" w:rsidRPr="00E90F29">
        <w:rPr>
          <w:rFonts w:ascii="Arial" w:hAnsi="Arial" w:cs="Arial"/>
          <w:color w:val="000000"/>
          <w:sz w:val="22"/>
          <w:szCs w:val="22"/>
        </w:rPr>
        <w:t>. The complainants alleged that the pollution resulted in many of them suffering from lead-induced ailments which they contracted during their extended stay in the camps. The Panel held on 22 April 2015 that there had been a violation of Article 13 of the Convention by EULEX Kosovo by virtue of the fact EULEX Kosovo did not open an investigation into the matter before 14 April 2015 when it was still possible to do so. The Panel found that ability of the complainants to seek and obtain an effective remedy was thereby adversely affected.</w:t>
      </w:r>
      <w:r w:rsidR="00F868D9" w:rsidRPr="00E90F29">
        <w:rPr>
          <w:rStyle w:val="FootnoteReference"/>
          <w:rFonts w:ascii="Arial" w:hAnsi="Arial" w:cs="Arial"/>
          <w:color w:val="000000"/>
          <w:sz w:val="22"/>
          <w:szCs w:val="22"/>
        </w:rPr>
        <w:footnoteReference w:id="87"/>
      </w:r>
    </w:p>
    <w:p w14:paraId="4E9F732D" w14:textId="7984639C" w:rsidR="008B710E" w:rsidRPr="008B710E" w:rsidRDefault="00E37AA9" w:rsidP="00E90F29">
      <w:pPr>
        <w:spacing w:before="100" w:beforeAutospacing="1" w:after="100" w:afterAutospacing="1" w:line="360" w:lineRule="auto"/>
        <w:jc w:val="both"/>
        <w:rPr>
          <w:rFonts w:ascii="Arial" w:hAnsi="Arial" w:cs="Arial"/>
          <w:sz w:val="22"/>
          <w:szCs w:val="22"/>
        </w:rPr>
      </w:pPr>
      <w:r w:rsidRPr="00E90F29">
        <w:rPr>
          <w:rFonts w:ascii="Arial" w:hAnsi="Arial" w:cs="Arial"/>
          <w:color w:val="000000"/>
          <w:sz w:val="22"/>
          <w:szCs w:val="22"/>
        </w:rPr>
        <w:t xml:space="preserve">Similar findings were made by the Panel in a number of other cases pertaining to “enforced disappearance” or war-related assassinations, which remained uninvestigated or not fully investigated. In the </w:t>
      </w:r>
      <w:r w:rsidRPr="00E90F29">
        <w:rPr>
          <w:rFonts w:ascii="Arial" w:hAnsi="Arial" w:cs="Arial"/>
          <w:i/>
          <w:color w:val="000000"/>
          <w:sz w:val="22"/>
          <w:szCs w:val="22"/>
        </w:rPr>
        <w:t>L.O.</w:t>
      </w:r>
      <w:r w:rsidRPr="00E90F29">
        <w:rPr>
          <w:rFonts w:ascii="Arial" w:hAnsi="Arial" w:cs="Arial"/>
          <w:color w:val="000000"/>
          <w:sz w:val="22"/>
          <w:szCs w:val="22"/>
        </w:rPr>
        <w:t xml:space="preserve"> case, for instance, </w:t>
      </w:r>
      <w:r w:rsidR="00FB7270" w:rsidRPr="00E90F29">
        <w:rPr>
          <w:rFonts w:ascii="Arial" w:hAnsi="Arial" w:cs="Arial"/>
          <w:color w:val="000000"/>
          <w:sz w:val="22"/>
          <w:szCs w:val="22"/>
        </w:rPr>
        <w:t>the Panel found that the Mission had violated the complainant’s Article 13 right by failing to fully and properly investigating the circumstances of the disappearance of her husband in suspicious circumstances linked to the Kosovo conflict.</w:t>
      </w:r>
      <w:r w:rsidR="00FB7270" w:rsidRPr="00E90F29">
        <w:rPr>
          <w:rStyle w:val="FootnoteReference"/>
          <w:rFonts w:ascii="Arial" w:hAnsi="Arial" w:cs="Arial"/>
          <w:color w:val="000000"/>
          <w:sz w:val="22"/>
          <w:szCs w:val="22"/>
        </w:rPr>
        <w:footnoteReference w:id="88"/>
      </w:r>
      <w:r w:rsidR="00FB7270" w:rsidRPr="00E90F29">
        <w:rPr>
          <w:rFonts w:ascii="Arial" w:hAnsi="Arial" w:cs="Arial"/>
          <w:color w:val="000000"/>
          <w:sz w:val="22"/>
          <w:szCs w:val="22"/>
        </w:rPr>
        <w:t xml:space="preserve"> In particular, the Panel noted that </w:t>
      </w:r>
      <w:r w:rsidR="00FB7270" w:rsidRPr="00FB7270">
        <w:rPr>
          <w:rFonts w:ascii="Arial" w:hAnsi="Arial" w:cs="Arial"/>
          <w:sz w:val="22"/>
          <w:szCs w:val="22"/>
        </w:rPr>
        <w:t>investigative steps must be commensurate in nature with the gr</w:t>
      </w:r>
      <w:r w:rsidR="00FB7270" w:rsidRPr="00E90F29">
        <w:rPr>
          <w:rFonts w:ascii="Arial" w:hAnsi="Arial" w:cs="Arial"/>
          <w:sz w:val="22"/>
          <w:szCs w:val="22"/>
        </w:rPr>
        <w:t>avity of the alleged violation</w:t>
      </w:r>
      <w:r w:rsidR="00FB7270" w:rsidRPr="00FB7270">
        <w:rPr>
          <w:rFonts w:ascii="Arial" w:hAnsi="Arial" w:cs="Arial"/>
          <w:sz w:val="22"/>
          <w:szCs w:val="22"/>
        </w:rPr>
        <w:t>.</w:t>
      </w:r>
      <w:r w:rsidR="00FB7270" w:rsidRPr="00E90F29">
        <w:rPr>
          <w:rStyle w:val="FootnoteReference"/>
          <w:rFonts w:ascii="Arial" w:hAnsi="Arial" w:cs="Arial"/>
          <w:sz w:val="22"/>
          <w:szCs w:val="22"/>
        </w:rPr>
        <w:footnoteReference w:id="89"/>
      </w:r>
      <w:r w:rsidR="00FB7270" w:rsidRPr="00FB7270">
        <w:rPr>
          <w:rFonts w:ascii="Arial" w:hAnsi="Arial" w:cs="Arial"/>
          <w:sz w:val="22"/>
          <w:szCs w:val="22"/>
        </w:rPr>
        <w:t xml:space="preserve"> In this case, the alleged violation could no</w:t>
      </w:r>
      <w:r w:rsidR="00FB7270" w:rsidRPr="00E90F29">
        <w:rPr>
          <w:rFonts w:ascii="Arial" w:hAnsi="Arial" w:cs="Arial"/>
          <w:sz w:val="22"/>
          <w:szCs w:val="22"/>
        </w:rPr>
        <w:t xml:space="preserve">t be any more serious. The Panel </w:t>
      </w:r>
      <w:r w:rsidR="00FB7270" w:rsidRPr="00E90F29">
        <w:rPr>
          <w:rFonts w:ascii="Arial" w:hAnsi="Arial" w:cs="Arial"/>
          <w:sz w:val="22"/>
          <w:szCs w:val="22"/>
        </w:rPr>
        <w:lastRenderedPageBreak/>
        <w:t>thus said that o</w:t>
      </w:r>
      <w:r w:rsidR="00FB7270" w:rsidRPr="00FB7270">
        <w:rPr>
          <w:rFonts w:ascii="Arial" w:hAnsi="Arial" w:cs="Arial"/>
          <w:sz w:val="22"/>
          <w:szCs w:val="22"/>
        </w:rPr>
        <w:t>ne could therefore have expected the Mission to</w:t>
      </w:r>
      <w:r w:rsidR="00FB7270" w:rsidRPr="00E90F29">
        <w:rPr>
          <w:rFonts w:ascii="Arial" w:hAnsi="Arial" w:cs="Arial"/>
          <w:sz w:val="22"/>
          <w:szCs w:val="22"/>
        </w:rPr>
        <w:t xml:space="preserve"> involve significant resources </w:t>
      </w:r>
      <w:r w:rsidR="00FB7270" w:rsidRPr="00FB7270">
        <w:rPr>
          <w:rFonts w:ascii="Arial" w:hAnsi="Arial" w:cs="Arial"/>
          <w:sz w:val="22"/>
          <w:szCs w:val="22"/>
        </w:rPr>
        <w:t>i</w:t>
      </w:r>
      <w:r w:rsidR="00FB7270" w:rsidRPr="00E90F29">
        <w:rPr>
          <w:rFonts w:ascii="Arial" w:hAnsi="Arial" w:cs="Arial"/>
          <w:sz w:val="22"/>
          <w:szCs w:val="22"/>
        </w:rPr>
        <w:t>n personnel, time and resources</w:t>
      </w:r>
      <w:r w:rsidR="00FB7270" w:rsidRPr="00FB7270">
        <w:rPr>
          <w:rFonts w:ascii="Arial" w:hAnsi="Arial" w:cs="Arial"/>
          <w:sz w:val="22"/>
          <w:szCs w:val="22"/>
        </w:rPr>
        <w:t xml:space="preserve"> into this case. </w:t>
      </w:r>
      <w:r w:rsidR="00FB7270" w:rsidRPr="00E90F29">
        <w:rPr>
          <w:rFonts w:ascii="Arial" w:hAnsi="Arial" w:cs="Arial"/>
          <w:sz w:val="22"/>
          <w:szCs w:val="22"/>
        </w:rPr>
        <w:t>This did not happen</w:t>
      </w:r>
      <w:r w:rsidR="00FB7270" w:rsidRPr="00FB7270">
        <w:rPr>
          <w:rFonts w:ascii="Arial" w:hAnsi="Arial" w:cs="Arial"/>
          <w:sz w:val="22"/>
          <w:szCs w:val="22"/>
        </w:rPr>
        <w:t xml:space="preserve">. </w:t>
      </w:r>
      <w:r w:rsidR="00FB7270" w:rsidRPr="00E90F29">
        <w:rPr>
          <w:rFonts w:ascii="Arial" w:hAnsi="Arial" w:cs="Arial"/>
          <w:sz w:val="22"/>
          <w:szCs w:val="22"/>
        </w:rPr>
        <w:t xml:space="preserve">The Panel further noted that </w:t>
      </w:r>
      <w:r w:rsidR="00FB7270" w:rsidRPr="00E90F29">
        <w:rPr>
          <w:rFonts w:ascii="Arial" w:hAnsi="Arial" w:cs="Arial"/>
          <w:color w:val="000000"/>
          <w:sz w:val="22"/>
          <w:szCs w:val="22"/>
        </w:rPr>
        <w:t xml:space="preserve">there was no </w:t>
      </w:r>
      <w:r w:rsidR="00FB7270" w:rsidRPr="00FB7270">
        <w:rPr>
          <w:rFonts w:ascii="Arial" w:hAnsi="Arial" w:cs="Arial"/>
          <w:sz w:val="22"/>
          <w:szCs w:val="22"/>
        </w:rPr>
        <w:t xml:space="preserve">indication that witness statements </w:t>
      </w:r>
      <w:r w:rsidR="00FB7270" w:rsidRPr="00E90F29">
        <w:rPr>
          <w:rFonts w:ascii="Arial" w:hAnsi="Arial" w:cs="Arial"/>
          <w:sz w:val="22"/>
          <w:szCs w:val="22"/>
        </w:rPr>
        <w:t>had been</w:t>
      </w:r>
      <w:r w:rsidR="00FB7270" w:rsidRPr="00FB7270">
        <w:rPr>
          <w:rFonts w:ascii="Arial" w:hAnsi="Arial" w:cs="Arial"/>
          <w:sz w:val="22"/>
          <w:szCs w:val="22"/>
        </w:rPr>
        <w:t xml:space="preserve"> taken by the EULEX Prosecutors or that any credible forensic investigation was conducted by the Mission. Nor </w:t>
      </w:r>
      <w:r w:rsidR="00FB7270" w:rsidRPr="00E90F29">
        <w:rPr>
          <w:rFonts w:ascii="Arial" w:hAnsi="Arial" w:cs="Arial"/>
          <w:sz w:val="22"/>
          <w:szCs w:val="22"/>
        </w:rPr>
        <w:t>was there</w:t>
      </w:r>
      <w:r w:rsidR="00FB7270" w:rsidRPr="00FB7270">
        <w:rPr>
          <w:rFonts w:ascii="Arial" w:hAnsi="Arial" w:cs="Arial"/>
          <w:sz w:val="22"/>
          <w:szCs w:val="22"/>
        </w:rPr>
        <w:t xml:space="preserve"> any indication of the lines of investigation that were pursued in this case or what efforts were made to identify suspects. No information was provided to the Panel to suggest that the EULEX Prosecutors had contacted potential sources of information </w:t>
      </w:r>
      <w:r w:rsidR="00060B84" w:rsidRPr="00E90F29">
        <w:rPr>
          <w:rFonts w:ascii="Arial" w:hAnsi="Arial" w:cs="Arial"/>
          <w:sz w:val="22"/>
          <w:szCs w:val="22"/>
        </w:rPr>
        <w:t>and no statement was</w:t>
      </w:r>
      <w:r w:rsidR="00FB7270" w:rsidRPr="00FB7270">
        <w:rPr>
          <w:rFonts w:ascii="Arial" w:hAnsi="Arial" w:cs="Arial"/>
          <w:sz w:val="22"/>
          <w:szCs w:val="22"/>
        </w:rPr>
        <w:t xml:space="preserve"> taken from the complainant, her daughter or any other close relative who might have had information of value to the investigation. There was apparently only one direct verbal contact between the complainant and the Mission, which also appears to have reacted only when prompted to do so by the complainant. Such a record is not</w:t>
      </w:r>
      <w:r w:rsidR="00060B84" w:rsidRPr="00E90F29">
        <w:rPr>
          <w:rFonts w:ascii="Arial" w:hAnsi="Arial" w:cs="Arial"/>
          <w:sz w:val="22"/>
          <w:szCs w:val="22"/>
        </w:rPr>
        <w:t>, the Panel said,</w:t>
      </w:r>
      <w:r w:rsidR="00FB7270" w:rsidRPr="00FB7270">
        <w:rPr>
          <w:rFonts w:ascii="Arial" w:hAnsi="Arial" w:cs="Arial"/>
          <w:sz w:val="22"/>
          <w:szCs w:val="22"/>
        </w:rPr>
        <w:t xml:space="preserve"> such as to guarantee the procedural protection guaranteed by Ar</w:t>
      </w:r>
      <w:r w:rsidR="00060B84" w:rsidRPr="00E90F29">
        <w:rPr>
          <w:rFonts w:ascii="Arial" w:hAnsi="Arial" w:cs="Arial"/>
          <w:sz w:val="22"/>
          <w:szCs w:val="22"/>
        </w:rPr>
        <w:t xml:space="preserve">ticle 2 and 3 of the Convention and was </w:t>
      </w:r>
      <w:r w:rsidR="00FB7270" w:rsidRPr="00FB7270">
        <w:rPr>
          <w:rFonts w:ascii="Arial" w:hAnsi="Arial" w:cs="Arial"/>
          <w:sz w:val="22"/>
          <w:szCs w:val="22"/>
        </w:rPr>
        <w:t>said to have negatively affected the complainant’s enjoyment of her rights under Article 8 and 13 of the Convention.</w:t>
      </w:r>
      <w:r w:rsidR="00060B84" w:rsidRPr="00E90F29">
        <w:rPr>
          <w:rStyle w:val="FootnoteReference"/>
          <w:rFonts w:ascii="Arial" w:hAnsi="Arial" w:cs="Arial"/>
          <w:sz w:val="22"/>
          <w:szCs w:val="22"/>
        </w:rPr>
        <w:footnoteReference w:id="90"/>
      </w:r>
      <w:r w:rsidR="00FB7270" w:rsidRPr="00FB7270">
        <w:rPr>
          <w:rFonts w:ascii="Arial" w:hAnsi="Arial" w:cs="Arial"/>
          <w:sz w:val="22"/>
          <w:szCs w:val="22"/>
        </w:rPr>
        <w:t xml:space="preserve"> </w:t>
      </w:r>
      <w:r w:rsidR="00F82DCB" w:rsidRPr="00E90F29">
        <w:rPr>
          <w:rFonts w:ascii="Arial" w:hAnsi="Arial" w:cs="Arial"/>
          <w:sz w:val="22"/>
          <w:szCs w:val="22"/>
        </w:rPr>
        <w:t xml:space="preserve">The Panel noted, </w:t>
      </w:r>
      <w:r w:rsidR="00FB7270" w:rsidRPr="00FB7270">
        <w:rPr>
          <w:rFonts w:ascii="Arial" w:hAnsi="Arial" w:cs="Arial"/>
          <w:sz w:val="22"/>
          <w:szCs w:val="22"/>
        </w:rPr>
        <w:t xml:space="preserve">furthermore, that the Mission’s response to the complainant’s efforts </w:t>
      </w:r>
      <w:r w:rsidR="00F82DCB" w:rsidRPr="00E90F29">
        <w:rPr>
          <w:rFonts w:ascii="Arial" w:hAnsi="Arial" w:cs="Arial"/>
          <w:sz w:val="22"/>
          <w:szCs w:val="22"/>
        </w:rPr>
        <w:t>was</w:t>
      </w:r>
      <w:r w:rsidR="00FB7270" w:rsidRPr="00FB7270">
        <w:rPr>
          <w:rFonts w:ascii="Arial" w:hAnsi="Arial" w:cs="Arial"/>
          <w:sz w:val="22"/>
          <w:szCs w:val="22"/>
        </w:rPr>
        <w:t xml:space="preserve"> far from ade</w:t>
      </w:r>
      <w:r w:rsidR="00F82DCB" w:rsidRPr="00E90F29">
        <w:rPr>
          <w:rFonts w:ascii="Arial" w:hAnsi="Arial" w:cs="Arial"/>
          <w:sz w:val="22"/>
          <w:szCs w:val="22"/>
        </w:rPr>
        <w:t>quate: “</w:t>
      </w:r>
      <w:r w:rsidR="00FB7270" w:rsidRPr="00FB7270">
        <w:rPr>
          <w:rFonts w:ascii="Arial" w:hAnsi="Arial" w:cs="Arial"/>
          <w:sz w:val="22"/>
          <w:szCs w:val="22"/>
        </w:rPr>
        <w:t>Her many efforts resulted only in her receiving the bare minimum amount of information and only when she pressed for answers. Little that is apparent to the Panel was done to keep her involve</w:t>
      </w:r>
      <w:r w:rsidR="00F82DCB" w:rsidRPr="00E90F29">
        <w:rPr>
          <w:rFonts w:ascii="Arial" w:hAnsi="Arial" w:cs="Arial"/>
          <w:sz w:val="22"/>
          <w:szCs w:val="22"/>
        </w:rPr>
        <w:t>d in or abreast of the process.”</w:t>
      </w:r>
      <w:r w:rsidR="00F82DCB" w:rsidRPr="00E90F29">
        <w:rPr>
          <w:rStyle w:val="FootnoteReference"/>
          <w:rFonts w:ascii="Arial" w:hAnsi="Arial" w:cs="Arial"/>
          <w:sz w:val="22"/>
          <w:szCs w:val="22"/>
        </w:rPr>
        <w:footnoteReference w:id="91"/>
      </w:r>
      <w:r w:rsidR="00CF3788" w:rsidRPr="00E90F29">
        <w:rPr>
          <w:rFonts w:ascii="Arial" w:hAnsi="Arial" w:cs="Arial"/>
          <w:sz w:val="22"/>
          <w:szCs w:val="22"/>
        </w:rPr>
        <w:t xml:space="preserve"> The Panel also underline</w:t>
      </w:r>
      <w:r w:rsidR="00234C82" w:rsidRPr="00E90F29">
        <w:rPr>
          <w:rFonts w:ascii="Arial" w:hAnsi="Arial" w:cs="Arial"/>
          <w:sz w:val="22"/>
          <w:szCs w:val="22"/>
        </w:rPr>
        <w:t>d</w:t>
      </w:r>
      <w:r w:rsidR="00CF3788" w:rsidRPr="00E90F29">
        <w:rPr>
          <w:rFonts w:ascii="Arial" w:hAnsi="Arial" w:cs="Arial"/>
          <w:sz w:val="22"/>
          <w:szCs w:val="22"/>
        </w:rPr>
        <w:t xml:space="preserve"> the importance that investigative authorities should attach to the manner in which they communicate with victims of rights violations or their close relatives</w:t>
      </w:r>
      <w:r w:rsidR="00234C82" w:rsidRPr="00E90F29">
        <w:rPr>
          <w:rFonts w:ascii="Arial" w:hAnsi="Arial" w:cs="Arial"/>
          <w:sz w:val="22"/>
          <w:szCs w:val="22"/>
        </w:rPr>
        <w:t xml:space="preserve"> and said that the Mission fell short of that standard considering the tone, manner and superficial way in which it had communicated with the complainant</w:t>
      </w:r>
      <w:r w:rsidR="00CF3788" w:rsidRPr="00E90F29">
        <w:rPr>
          <w:rFonts w:ascii="Arial" w:hAnsi="Arial" w:cs="Arial"/>
          <w:sz w:val="22"/>
          <w:szCs w:val="22"/>
        </w:rPr>
        <w:t>.</w:t>
      </w:r>
      <w:r w:rsidR="00CF3788" w:rsidRPr="00E90F29">
        <w:rPr>
          <w:rStyle w:val="FootnoteReference"/>
          <w:rFonts w:ascii="Arial" w:hAnsi="Arial" w:cs="Arial"/>
          <w:sz w:val="22"/>
          <w:szCs w:val="22"/>
        </w:rPr>
        <w:footnoteReference w:id="92"/>
      </w:r>
      <w:r w:rsidR="00402630" w:rsidRPr="00E90F29">
        <w:rPr>
          <w:rFonts w:ascii="Arial" w:hAnsi="Arial" w:cs="Arial"/>
          <w:sz w:val="22"/>
          <w:szCs w:val="22"/>
        </w:rPr>
        <w:t xml:space="preserve"> The Panel further noted that </w:t>
      </w:r>
      <w:r w:rsidR="00402630" w:rsidRPr="00402630">
        <w:rPr>
          <w:rFonts w:ascii="Arial" w:hAnsi="Arial" w:cs="Arial"/>
          <w:sz w:val="22"/>
          <w:szCs w:val="22"/>
        </w:rPr>
        <w:t>EULEX’s competence and responsibility to investigate crimes falling within its mandate is not conditioned by the actions of an injur</w:t>
      </w:r>
      <w:r w:rsidR="00402630" w:rsidRPr="00E90F29">
        <w:rPr>
          <w:rFonts w:ascii="Arial" w:hAnsi="Arial" w:cs="Arial"/>
          <w:sz w:val="22"/>
          <w:szCs w:val="22"/>
        </w:rPr>
        <w:t xml:space="preserve">ed party. In a case such as this </w:t>
      </w:r>
      <w:r w:rsidR="00402630" w:rsidRPr="00402630">
        <w:rPr>
          <w:rFonts w:ascii="Arial" w:hAnsi="Arial" w:cs="Arial"/>
          <w:sz w:val="22"/>
          <w:szCs w:val="22"/>
        </w:rPr>
        <w:t xml:space="preserve">one, </w:t>
      </w:r>
      <w:r w:rsidR="00402630" w:rsidRPr="00E90F29">
        <w:rPr>
          <w:rFonts w:ascii="Arial" w:hAnsi="Arial" w:cs="Arial"/>
          <w:sz w:val="22"/>
          <w:szCs w:val="22"/>
        </w:rPr>
        <w:t>the Mission was said to be</w:t>
      </w:r>
      <w:r w:rsidR="00402630" w:rsidRPr="00402630">
        <w:rPr>
          <w:rFonts w:ascii="Arial" w:hAnsi="Arial" w:cs="Arial"/>
          <w:sz w:val="22"/>
          <w:szCs w:val="22"/>
        </w:rPr>
        <w:t xml:space="preserve"> responsible to act </w:t>
      </w:r>
      <w:proofErr w:type="spellStart"/>
      <w:r w:rsidR="00402630" w:rsidRPr="00402630">
        <w:rPr>
          <w:rFonts w:ascii="Arial" w:hAnsi="Arial" w:cs="Arial"/>
          <w:i/>
          <w:sz w:val="22"/>
          <w:szCs w:val="22"/>
        </w:rPr>
        <w:t>proprio</w:t>
      </w:r>
      <w:proofErr w:type="spellEnd"/>
      <w:r w:rsidR="00402630" w:rsidRPr="00402630">
        <w:rPr>
          <w:rFonts w:ascii="Arial" w:hAnsi="Arial" w:cs="Arial"/>
          <w:i/>
          <w:sz w:val="22"/>
          <w:szCs w:val="22"/>
        </w:rPr>
        <w:t xml:space="preserve"> </w:t>
      </w:r>
      <w:proofErr w:type="spellStart"/>
      <w:r w:rsidR="00402630" w:rsidRPr="00402630">
        <w:rPr>
          <w:rFonts w:ascii="Arial" w:hAnsi="Arial" w:cs="Arial"/>
          <w:i/>
          <w:sz w:val="22"/>
          <w:szCs w:val="22"/>
        </w:rPr>
        <w:t>motu</w:t>
      </w:r>
      <w:proofErr w:type="spellEnd"/>
      <w:r w:rsidR="00402630" w:rsidRPr="00402630">
        <w:rPr>
          <w:rFonts w:ascii="Arial" w:hAnsi="Arial" w:cs="Arial"/>
          <w:sz w:val="22"/>
          <w:szCs w:val="22"/>
        </w:rPr>
        <w:t xml:space="preserve"> with a view to ensuring that the disappearance is being diligently, promptly and effectively investigated.</w:t>
      </w:r>
      <w:r w:rsidR="00402630" w:rsidRPr="00E90F29">
        <w:rPr>
          <w:rStyle w:val="FootnoteReference"/>
          <w:rFonts w:ascii="Arial" w:hAnsi="Arial" w:cs="Arial"/>
          <w:sz w:val="22"/>
          <w:szCs w:val="22"/>
        </w:rPr>
        <w:footnoteReference w:id="93"/>
      </w:r>
      <w:r w:rsidR="00402630" w:rsidRPr="00402630">
        <w:rPr>
          <w:rFonts w:ascii="Arial" w:hAnsi="Arial" w:cs="Arial"/>
          <w:sz w:val="22"/>
          <w:szCs w:val="22"/>
        </w:rPr>
        <w:t xml:space="preserve"> Accordingly,</w:t>
      </w:r>
      <w:r w:rsidR="008B710E" w:rsidRPr="00E90F29">
        <w:rPr>
          <w:rFonts w:ascii="Arial" w:hAnsi="Arial" w:cs="Arial"/>
          <w:sz w:val="22"/>
          <w:szCs w:val="22"/>
        </w:rPr>
        <w:t xml:space="preserve"> </w:t>
      </w:r>
      <w:r w:rsidR="00402630" w:rsidRPr="00E90F29">
        <w:rPr>
          <w:rFonts w:ascii="Arial" w:hAnsi="Arial" w:cs="Arial"/>
          <w:sz w:val="22"/>
          <w:szCs w:val="22"/>
        </w:rPr>
        <w:t xml:space="preserve">the Panel </w:t>
      </w:r>
      <w:r w:rsidR="008B710E" w:rsidRPr="00E90F29">
        <w:rPr>
          <w:rFonts w:ascii="Arial" w:hAnsi="Arial" w:cs="Arial"/>
          <w:sz w:val="22"/>
          <w:szCs w:val="22"/>
        </w:rPr>
        <w:t>held</w:t>
      </w:r>
      <w:r w:rsidR="00402630" w:rsidRPr="00E90F29">
        <w:rPr>
          <w:rFonts w:ascii="Arial" w:hAnsi="Arial" w:cs="Arial"/>
          <w:sz w:val="22"/>
          <w:szCs w:val="22"/>
        </w:rPr>
        <w:t>,</w:t>
      </w:r>
      <w:r w:rsidR="00402630" w:rsidRPr="00402630">
        <w:rPr>
          <w:rFonts w:ascii="Arial" w:hAnsi="Arial" w:cs="Arial"/>
          <w:sz w:val="22"/>
          <w:szCs w:val="22"/>
        </w:rPr>
        <w:t xml:space="preserve"> a rejection of the complainant’s requests for information in no way affected the Mission’s </w:t>
      </w:r>
      <w:proofErr w:type="spellStart"/>
      <w:r w:rsidR="00402630" w:rsidRPr="00402630">
        <w:rPr>
          <w:rFonts w:ascii="Arial" w:hAnsi="Arial" w:cs="Arial"/>
          <w:i/>
          <w:sz w:val="22"/>
          <w:szCs w:val="22"/>
        </w:rPr>
        <w:t>proprio</w:t>
      </w:r>
      <w:proofErr w:type="spellEnd"/>
      <w:r w:rsidR="00402630" w:rsidRPr="00402630">
        <w:rPr>
          <w:rFonts w:ascii="Arial" w:hAnsi="Arial" w:cs="Arial"/>
          <w:i/>
          <w:sz w:val="22"/>
          <w:szCs w:val="22"/>
        </w:rPr>
        <w:t xml:space="preserve"> </w:t>
      </w:r>
      <w:proofErr w:type="spellStart"/>
      <w:r w:rsidR="00402630" w:rsidRPr="00402630">
        <w:rPr>
          <w:rFonts w:ascii="Arial" w:hAnsi="Arial" w:cs="Arial"/>
          <w:i/>
          <w:sz w:val="22"/>
          <w:szCs w:val="22"/>
        </w:rPr>
        <w:t>motu</w:t>
      </w:r>
      <w:proofErr w:type="spellEnd"/>
      <w:r w:rsidR="00402630" w:rsidRPr="00402630">
        <w:rPr>
          <w:rFonts w:ascii="Arial" w:hAnsi="Arial" w:cs="Arial"/>
          <w:sz w:val="22"/>
          <w:szCs w:val="22"/>
        </w:rPr>
        <w:t xml:space="preserve"> obligations to guarantee the effectiveness of the complainant’s fundamental rights.</w:t>
      </w:r>
      <w:r w:rsidR="008B710E" w:rsidRPr="00E90F29">
        <w:rPr>
          <w:rStyle w:val="FootnoteReference"/>
          <w:rFonts w:ascii="Arial" w:hAnsi="Arial" w:cs="Arial"/>
          <w:sz w:val="22"/>
          <w:szCs w:val="22"/>
        </w:rPr>
        <w:footnoteReference w:id="94"/>
      </w:r>
      <w:r w:rsidR="00402630" w:rsidRPr="00402630">
        <w:rPr>
          <w:rFonts w:ascii="Arial" w:hAnsi="Arial" w:cs="Arial"/>
          <w:sz w:val="22"/>
          <w:szCs w:val="22"/>
        </w:rPr>
        <w:t xml:space="preserve"> </w:t>
      </w:r>
      <w:r w:rsidR="008B710E" w:rsidRPr="00E90F29">
        <w:rPr>
          <w:rFonts w:ascii="Arial" w:hAnsi="Arial" w:cs="Arial"/>
          <w:sz w:val="22"/>
          <w:szCs w:val="22"/>
        </w:rPr>
        <w:t xml:space="preserve">The Panel concluded on that basis that </w:t>
      </w:r>
      <w:r w:rsidR="008B710E" w:rsidRPr="008B710E">
        <w:rPr>
          <w:rFonts w:ascii="Arial" w:hAnsi="Arial" w:cs="Arial"/>
          <w:sz w:val="22"/>
          <w:szCs w:val="22"/>
        </w:rPr>
        <w:t xml:space="preserve">EULEX’s investigative efforts </w:t>
      </w:r>
      <w:r w:rsidR="008B710E" w:rsidRPr="00E90F29">
        <w:rPr>
          <w:rFonts w:ascii="Arial" w:hAnsi="Arial" w:cs="Arial"/>
          <w:sz w:val="22"/>
          <w:szCs w:val="22"/>
        </w:rPr>
        <w:t xml:space="preserve">in this case had been </w:t>
      </w:r>
      <w:r w:rsidR="008B710E" w:rsidRPr="008B710E">
        <w:rPr>
          <w:rFonts w:ascii="Arial" w:hAnsi="Arial" w:cs="Arial"/>
          <w:sz w:val="22"/>
          <w:szCs w:val="22"/>
        </w:rPr>
        <w:t xml:space="preserve">insufficient and inadequate to guarantee the </w:t>
      </w:r>
      <w:r w:rsidR="008B710E" w:rsidRPr="008B710E">
        <w:rPr>
          <w:rFonts w:ascii="Arial" w:hAnsi="Arial" w:cs="Arial"/>
          <w:sz w:val="22"/>
          <w:szCs w:val="22"/>
        </w:rPr>
        <w:lastRenderedPageBreak/>
        <w:t>effective protection of the complainant’s rights under Articles 2, 3 (procedural limbs), 8 and 13</w:t>
      </w:r>
      <w:r w:rsidR="008B710E" w:rsidRPr="00E90F29">
        <w:rPr>
          <w:rFonts w:ascii="Arial" w:hAnsi="Arial" w:cs="Arial"/>
          <w:sz w:val="22"/>
          <w:szCs w:val="22"/>
        </w:rPr>
        <w:t xml:space="preserve"> of the European Convention</w:t>
      </w:r>
      <w:r w:rsidR="008B710E" w:rsidRPr="008B710E">
        <w:rPr>
          <w:rFonts w:ascii="Arial" w:hAnsi="Arial" w:cs="Arial"/>
          <w:sz w:val="22"/>
          <w:szCs w:val="22"/>
        </w:rPr>
        <w:t>.</w:t>
      </w:r>
      <w:r w:rsidR="008B710E" w:rsidRPr="00E90F29">
        <w:rPr>
          <w:rStyle w:val="FootnoteReference"/>
          <w:rFonts w:ascii="Arial" w:hAnsi="Arial" w:cs="Arial"/>
          <w:sz w:val="22"/>
          <w:szCs w:val="22"/>
        </w:rPr>
        <w:footnoteReference w:id="95"/>
      </w:r>
    </w:p>
    <w:p w14:paraId="72C74842" w14:textId="205554CC" w:rsidR="00402630" w:rsidRPr="00E90F29" w:rsidRDefault="008B710E" w:rsidP="00E90F29">
      <w:pPr>
        <w:spacing w:before="100" w:beforeAutospacing="1" w:after="100" w:afterAutospacing="1" w:line="360" w:lineRule="auto"/>
        <w:jc w:val="both"/>
        <w:rPr>
          <w:rFonts w:ascii="Arial" w:hAnsi="Arial" w:cs="Arial"/>
          <w:sz w:val="22"/>
          <w:szCs w:val="22"/>
        </w:rPr>
      </w:pPr>
      <w:r w:rsidRPr="00E90F29">
        <w:rPr>
          <w:rFonts w:ascii="Arial" w:hAnsi="Arial" w:cs="Arial"/>
          <w:sz w:val="22"/>
          <w:szCs w:val="22"/>
        </w:rPr>
        <w:t>In the same case, the Panel also made it clear that a mere theoretical possibility that another, new, mechanism of investigation might take care of investigating the matter did not meet the requirements of an effective remedy.</w:t>
      </w:r>
      <w:r w:rsidRPr="00E90F29">
        <w:rPr>
          <w:rStyle w:val="FootnoteReference"/>
          <w:rFonts w:ascii="Arial" w:hAnsi="Arial" w:cs="Arial"/>
          <w:sz w:val="22"/>
          <w:szCs w:val="22"/>
        </w:rPr>
        <w:footnoteReference w:id="96"/>
      </w:r>
    </w:p>
    <w:p w14:paraId="63F15351" w14:textId="77777777" w:rsidR="00DC4CE5" w:rsidRPr="00E90F29" w:rsidRDefault="0093623D" w:rsidP="00E90F29">
      <w:pPr>
        <w:spacing w:before="100" w:beforeAutospacing="1" w:after="100" w:afterAutospacing="1" w:line="360" w:lineRule="auto"/>
        <w:jc w:val="both"/>
        <w:rPr>
          <w:rFonts w:ascii="Arial" w:hAnsi="Arial" w:cs="Arial"/>
          <w:color w:val="000000"/>
          <w:sz w:val="22"/>
          <w:szCs w:val="22"/>
        </w:rPr>
      </w:pPr>
      <w:r w:rsidRPr="00E90F29">
        <w:rPr>
          <w:rFonts w:ascii="Arial" w:hAnsi="Arial" w:cs="Arial"/>
          <w:color w:val="000000"/>
          <w:sz w:val="22"/>
          <w:szCs w:val="22"/>
        </w:rPr>
        <w:t>The right to an effective remedy also requires that the authorities provide the victims or their relatives with sufficient information about the course of the investigation into the violation of their rights. That information does not have to be exhaustive of all investigative efforts. Nor does it have to be contemporaneous of any step taken. It must, however, be such as to provide general information of the steps being taken by the authorities to establish the circumstances of the violation of rights concerned.</w:t>
      </w:r>
      <w:r w:rsidR="00A0496D" w:rsidRPr="00E90F29">
        <w:rPr>
          <w:rFonts w:ascii="Arial" w:hAnsi="Arial" w:cs="Arial"/>
          <w:color w:val="000000"/>
          <w:sz w:val="22"/>
          <w:szCs w:val="22"/>
        </w:rPr>
        <w:t xml:space="preserve"> This matter is discussed extensively in the Panel’s </w:t>
      </w:r>
      <w:r w:rsidR="00A0496D" w:rsidRPr="00E90F29">
        <w:rPr>
          <w:rFonts w:ascii="Arial" w:hAnsi="Arial" w:cs="Arial"/>
          <w:i/>
          <w:sz w:val="22"/>
          <w:szCs w:val="22"/>
        </w:rPr>
        <w:t>HRRP Case-Law Note the Duty to Investigate Allegations of Violations of Right</w:t>
      </w:r>
      <w:r w:rsidR="00A0496D" w:rsidRPr="00E90F29">
        <w:rPr>
          <w:rFonts w:ascii="Arial" w:hAnsi="Arial" w:cs="Arial"/>
          <w:i/>
          <w:sz w:val="22"/>
          <w:szCs w:val="22"/>
        </w:rPr>
        <w:t>s</w:t>
      </w:r>
      <w:r w:rsidR="00A0496D" w:rsidRPr="00E90F29">
        <w:rPr>
          <w:rFonts w:ascii="Arial" w:hAnsi="Arial" w:cs="Arial"/>
          <w:sz w:val="22"/>
          <w:szCs w:val="22"/>
        </w:rPr>
        <w:t>.</w:t>
      </w:r>
      <w:r w:rsidRPr="00E90F29">
        <w:rPr>
          <w:rStyle w:val="FootnoteReference"/>
          <w:rFonts w:ascii="Arial" w:hAnsi="Arial" w:cs="Arial"/>
          <w:color w:val="000000"/>
          <w:sz w:val="22"/>
          <w:szCs w:val="22"/>
        </w:rPr>
        <w:footnoteReference w:id="97"/>
      </w:r>
      <w:r w:rsidR="00A0496D" w:rsidRPr="00E90F29">
        <w:rPr>
          <w:rFonts w:ascii="Arial" w:hAnsi="Arial" w:cs="Arial"/>
          <w:color w:val="000000"/>
          <w:sz w:val="22"/>
          <w:szCs w:val="22"/>
        </w:rPr>
        <w:t xml:space="preserve"> </w:t>
      </w:r>
    </w:p>
    <w:p w14:paraId="72C207B2" w14:textId="3C162D42" w:rsidR="006560BE" w:rsidRPr="00E90F29" w:rsidRDefault="006560BE" w:rsidP="00E90F29">
      <w:pPr>
        <w:spacing w:before="100" w:beforeAutospacing="1" w:after="100" w:afterAutospacing="1" w:line="360" w:lineRule="auto"/>
        <w:jc w:val="both"/>
        <w:rPr>
          <w:rFonts w:ascii="Arial" w:hAnsi="Arial" w:cs="Arial"/>
          <w:color w:val="000000"/>
          <w:sz w:val="22"/>
          <w:szCs w:val="22"/>
        </w:rPr>
      </w:pPr>
      <w:r w:rsidRPr="00E90F29">
        <w:rPr>
          <w:rFonts w:ascii="Arial" w:hAnsi="Arial" w:cs="Arial"/>
          <w:color w:val="000000"/>
          <w:sz w:val="22"/>
          <w:szCs w:val="22"/>
        </w:rPr>
        <w:t>Where the authorities decide to close an investigation, this might also require of them to render a reasoned decision explaining in general fashion their reasons for closing the matter.</w:t>
      </w:r>
      <w:r w:rsidRPr="00E90F29">
        <w:rPr>
          <w:rStyle w:val="FootnoteReference"/>
          <w:rFonts w:ascii="Arial" w:hAnsi="Arial" w:cs="Arial"/>
          <w:color w:val="000000"/>
          <w:sz w:val="22"/>
          <w:szCs w:val="22"/>
        </w:rPr>
        <w:footnoteReference w:id="98"/>
      </w:r>
    </w:p>
    <w:p w14:paraId="105880E0" w14:textId="0422ADA7" w:rsidR="008732C4" w:rsidRPr="00E90F29" w:rsidRDefault="002C4F2E" w:rsidP="00E90F29">
      <w:pPr>
        <w:pStyle w:val="Heading3"/>
      </w:pPr>
      <w:bookmarkStart w:id="43" w:name="_Toc513713985"/>
      <w:r w:rsidRPr="00E90F29">
        <w:t xml:space="preserve">3.8.4 Preventing </w:t>
      </w:r>
      <w:r w:rsidR="00EF3D4A" w:rsidRPr="00E90F29">
        <w:t xml:space="preserve">or interfering with </w:t>
      </w:r>
      <w:r w:rsidRPr="00E90F29">
        <w:t xml:space="preserve">the possibility of </w:t>
      </w:r>
      <w:r w:rsidR="00EF3D4A" w:rsidRPr="00E90F29">
        <w:t>a remedy</w:t>
      </w:r>
      <w:bookmarkEnd w:id="43"/>
      <w:r w:rsidRPr="00E90F29">
        <w:t xml:space="preserve"> </w:t>
      </w:r>
    </w:p>
    <w:p w14:paraId="7302B8D5" w14:textId="082FB5C8" w:rsidR="00F17407" w:rsidRPr="00E90F29" w:rsidRDefault="002C4F2E"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This right may also cover situations where the authorities have taken steps or failed to take steps that result in making it impossible or overly onerous for the victim of a rights violation to obtain access to a remedy </w:t>
      </w:r>
      <w:r w:rsidR="000B5269" w:rsidRPr="00E90F29">
        <w:rPr>
          <w:rFonts w:ascii="Arial" w:hAnsi="Arial" w:cs="Arial"/>
          <w:sz w:val="22"/>
          <w:szCs w:val="22"/>
          <w:lang w:val="en-GB"/>
        </w:rPr>
        <w:t xml:space="preserve">for that violation. In </w:t>
      </w:r>
      <w:proofErr w:type="spellStart"/>
      <w:r w:rsidR="000B5269" w:rsidRPr="00E90F29">
        <w:rPr>
          <w:rFonts w:ascii="Arial" w:hAnsi="Arial" w:cs="Arial"/>
          <w:i/>
          <w:sz w:val="22"/>
          <w:szCs w:val="22"/>
          <w:lang w:val="en-GB"/>
        </w:rPr>
        <w:t>Zahiti</w:t>
      </w:r>
      <w:proofErr w:type="spellEnd"/>
      <w:r w:rsidR="000B5269" w:rsidRPr="00E90F29">
        <w:rPr>
          <w:rFonts w:ascii="Arial" w:hAnsi="Arial" w:cs="Arial"/>
          <w:sz w:val="22"/>
          <w:szCs w:val="22"/>
          <w:lang w:val="en-GB"/>
        </w:rPr>
        <w:t xml:space="preserve">, for instance, a female member of the Kosovo police was intentionally rammed by an EULEX police officer with his car. </w:t>
      </w:r>
      <w:r w:rsidR="00F17407" w:rsidRPr="00E90F29">
        <w:rPr>
          <w:rFonts w:ascii="Arial" w:hAnsi="Arial" w:cs="Arial"/>
          <w:sz w:val="22"/>
          <w:szCs w:val="22"/>
          <w:lang w:val="en-GB"/>
        </w:rPr>
        <w:t>The Panel made it clear that the attack itself could not be attributed to the Mission</w:t>
      </w:r>
      <w:r w:rsidR="00F17407" w:rsidRPr="00E90F29">
        <w:rPr>
          <w:rFonts w:ascii="Arial" w:hAnsi="Arial" w:cs="Arial"/>
          <w:i/>
          <w:sz w:val="22"/>
          <w:szCs w:val="22"/>
          <w:lang w:val="en-GB"/>
        </w:rPr>
        <w:t xml:space="preserve">. </w:t>
      </w:r>
      <w:r w:rsidR="00F17407" w:rsidRPr="00E90F29">
        <w:rPr>
          <w:rFonts w:ascii="Arial" w:hAnsi="Arial" w:cs="Arial"/>
          <w:sz w:val="22"/>
          <w:szCs w:val="22"/>
          <w:lang w:val="en-GB"/>
        </w:rPr>
        <w:t>Rather,</w:t>
      </w:r>
      <w:r w:rsidR="00F17407" w:rsidRPr="00E90F29">
        <w:rPr>
          <w:rFonts w:ascii="Arial" w:hAnsi="Arial" w:cs="Arial"/>
          <w:i/>
          <w:sz w:val="22"/>
          <w:szCs w:val="22"/>
          <w:lang w:val="en-GB"/>
        </w:rPr>
        <w:t xml:space="preserve"> </w:t>
      </w:r>
      <w:r w:rsidR="00F17407" w:rsidRPr="00E90F29">
        <w:rPr>
          <w:rFonts w:ascii="Arial" w:hAnsi="Arial" w:cs="Arial"/>
          <w:sz w:val="22"/>
          <w:szCs w:val="22"/>
          <w:lang w:val="en-GB"/>
        </w:rPr>
        <w:t>it said that it was</w:t>
      </w:r>
      <w:r w:rsidR="00F17407" w:rsidRPr="00E90F29">
        <w:rPr>
          <w:rFonts w:ascii="Arial" w:hAnsi="Arial" w:cs="Arial"/>
          <w:i/>
          <w:sz w:val="22"/>
          <w:szCs w:val="22"/>
          <w:lang w:val="en-GB"/>
        </w:rPr>
        <w:t xml:space="preserve"> </w:t>
      </w:r>
      <w:r w:rsidR="00F17407" w:rsidRPr="00E90F29">
        <w:rPr>
          <w:rFonts w:ascii="Arial" w:hAnsi="Arial" w:cs="Arial"/>
          <w:sz w:val="22"/>
          <w:szCs w:val="22"/>
          <w:lang w:val="en-GB"/>
        </w:rPr>
        <w:t>called upon to determine whether, in the circumstances of the case and for the purposes of the effective exercise of its executive mandate, EULEX was obliged to provide adequate legal avenues with a view to ensuring adequate redress for the complainant and thus to comply with its human rights obligations under Articles 8 and 13 of the ECHR.</w:t>
      </w:r>
      <w:r w:rsidR="00F17407" w:rsidRPr="00E90F29">
        <w:rPr>
          <w:rStyle w:val="FootnoteReference"/>
          <w:rFonts w:ascii="Arial" w:hAnsi="Arial" w:cs="Arial"/>
          <w:sz w:val="22"/>
          <w:szCs w:val="22"/>
          <w:lang w:val="en-GB"/>
        </w:rPr>
        <w:footnoteReference w:id="99"/>
      </w:r>
      <w:r w:rsidR="00F17407" w:rsidRPr="00E90F29">
        <w:rPr>
          <w:rFonts w:ascii="Arial" w:hAnsi="Arial" w:cs="Arial"/>
          <w:sz w:val="22"/>
          <w:szCs w:val="22"/>
          <w:lang w:val="en-GB"/>
        </w:rPr>
        <w:t xml:space="preserve"> The Panel considered several </w:t>
      </w:r>
      <w:r w:rsidR="00F17407" w:rsidRPr="00E90F29">
        <w:rPr>
          <w:rFonts w:ascii="Arial" w:hAnsi="Arial" w:cs="Arial"/>
          <w:sz w:val="22"/>
          <w:szCs w:val="22"/>
          <w:lang w:val="en-GB"/>
        </w:rPr>
        <w:lastRenderedPageBreak/>
        <w:t xml:space="preserve">potential avenues of relief advanced by the Mission in its submissions as a form of remedy for the harm done to the victim. First, the Panel made it clear that it could not itself be regarded as such a remedy: </w:t>
      </w:r>
    </w:p>
    <w:p w14:paraId="1FD9F8EF" w14:textId="77777777" w:rsidR="00F17407" w:rsidRPr="00E90F29" w:rsidRDefault="00F17407" w:rsidP="00E90F29">
      <w:pPr>
        <w:spacing w:line="360" w:lineRule="auto"/>
        <w:jc w:val="both"/>
        <w:rPr>
          <w:rFonts w:ascii="Arial" w:hAnsi="Arial" w:cs="Arial"/>
          <w:sz w:val="22"/>
          <w:szCs w:val="22"/>
          <w:lang w:val="en-GB"/>
        </w:rPr>
      </w:pPr>
    </w:p>
    <w:p w14:paraId="7D92C127" w14:textId="41A28DA1" w:rsidR="00F17407" w:rsidRPr="00E90F29" w:rsidRDefault="00F17407" w:rsidP="00E90F29">
      <w:pPr>
        <w:pStyle w:val="ListParagraph"/>
        <w:suppressAutoHyphens/>
        <w:autoSpaceDE w:val="0"/>
        <w:spacing w:line="360" w:lineRule="auto"/>
        <w:ind w:left="567"/>
        <w:jc w:val="both"/>
        <w:rPr>
          <w:rFonts w:ascii="Arial" w:hAnsi="Arial" w:cs="Arial"/>
          <w:sz w:val="22"/>
          <w:szCs w:val="22"/>
        </w:rPr>
      </w:pPr>
      <w:r w:rsidRPr="00E90F29">
        <w:rPr>
          <w:rFonts w:ascii="Arial" w:hAnsi="Arial" w:cs="Arial"/>
          <w:sz w:val="22"/>
          <w:szCs w:val="22"/>
        </w:rPr>
        <w:t xml:space="preserve">“EULEX’s reference to the Panel’s existence in that context is without merit. Firstly, EULEX bears its </w:t>
      </w:r>
      <w:r w:rsidRPr="00E90F29">
        <w:rPr>
          <w:rFonts w:ascii="Arial" w:hAnsi="Arial" w:cs="Arial"/>
          <w:i/>
          <w:iCs/>
          <w:sz w:val="22"/>
          <w:szCs w:val="22"/>
        </w:rPr>
        <w:t>own</w:t>
      </w:r>
      <w:r w:rsidRPr="00E90F29">
        <w:rPr>
          <w:rFonts w:ascii="Arial" w:hAnsi="Arial" w:cs="Arial"/>
          <w:sz w:val="22"/>
          <w:szCs w:val="22"/>
        </w:rPr>
        <w:t xml:space="preserve"> responsibility to provide an effective remedy for violations of rights attributable to the mission. Placing EULEX’s own responsibility to provide such a remedy on the Panel would be inconsistent with EULEX’s mandate and obligation to meet its own human rights obligation in the fulfillment of its executive mandate. Secondly, the Panel is not empowered to order or recommend financial compensation even where this would be otherwise appropriate (see Annex J of the EULEX OPLAN). Therefore, where this form or reparation would be appropriate, it would be unavailable to the complainant before the Panel.”</w:t>
      </w:r>
      <w:r w:rsidRPr="00E90F29">
        <w:rPr>
          <w:rStyle w:val="FootnoteReference"/>
          <w:rFonts w:ascii="Arial" w:hAnsi="Arial" w:cs="Arial"/>
          <w:sz w:val="22"/>
          <w:szCs w:val="22"/>
        </w:rPr>
        <w:footnoteReference w:id="100"/>
      </w:r>
    </w:p>
    <w:p w14:paraId="295D5BAD" w14:textId="77777777" w:rsidR="00F17407" w:rsidRPr="00E90F29" w:rsidRDefault="00F17407" w:rsidP="00E90F29">
      <w:pPr>
        <w:spacing w:line="360" w:lineRule="auto"/>
        <w:jc w:val="both"/>
        <w:rPr>
          <w:rFonts w:ascii="Arial" w:hAnsi="Arial" w:cs="Arial"/>
          <w:sz w:val="22"/>
          <w:szCs w:val="22"/>
          <w:lang w:val="en-GB"/>
        </w:rPr>
      </w:pPr>
    </w:p>
    <w:p w14:paraId="7D2F68DF" w14:textId="32A8D7CF" w:rsidR="001B1252" w:rsidRPr="00E90F29" w:rsidRDefault="001B1252" w:rsidP="00E90F29">
      <w:pPr>
        <w:spacing w:line="360" w:lineRule="auto"/>
        <w:jc w:val="both"/>
        <w:rPr>
          <w:rFonts w:ascii="Arial" w:hAnsi="Arial" w:cs="Arial"/>
          <w:sz w:val="22"/>
          <w:szCs w:val="22"/>
        </w:rPr>
      </w:pPr>
      <w:r w:rsidRPr="00E90F29">
        <w:rPr>
          <w:rFonts w:ascii="Arial" w:hAnsi="Arial" w:cs="Arial"/>
          <w:sz w:val="22"/>
          <w:szCs w:val="22"/>
          <w:lang w:val="en-GB"/>
        </w:rPr>
        <w:t xml:space="preserve">Secondly, the Panel also rejected the suggestion that the complainant could have had access </w:t>
      </w:r>
      <w:r w:rsidRPr="00E90F29">
        <w:rPr>
          <w:rFonts w:ascii="Arial" w:hAnsi="Arial" w:cs="Arial"/>
          <w:sz w:val="22"/>
          <w:szCs w:val="22"/>
        </w:rPr>
        <w:t>the complainant could have recourse to the Third Party Liability Claim Insurance as a means of effective remedy. The Panel noted, in particular, that EULEX had throughout its submissions taken the view that it is not responsible for the injury caused to the complainant so that it could not see how a request to EULEX to compensate for something it denies being responsible for could be regarded as an effective relief which the complainant should reasonably be expected to have pursued.</w:t>
      </w:r>
      <w:r w:rsidRPr="00E90F29">
        <w:rPr>
          <w:rStyle w:val="FootnoteReference"/>
          <w:rFonts w:ascii="Arial" w:hAnsi="Arial" w:cs="Arial"/>
          <w:sz w:val="22"/>
          <w:szCs w:val="22"/>
        </w:rPr>
        <w:footnoteReference w:id="101"/>
      </w:r>
      <w:r w:rsidRPr="00E90F29">
        <w:rPr>
          <w:rFonts w:ascii="Arial" w:hAnsi="Arial" w:cs="Arial"/>
          <w:sz w:val="22"/>
          <w:szCs w:val="22"/>
        </w:rPr>
        <w:t xml:space="preserve"> Furthermore, the Panel noted that whilst such a procedure might result in compensation for pecuniary damage, the Panel notes that the Mission has not so far considered offering any compensation to the complainant in this regard.</w:t>
      </w:r>
      <w:r w:rsidRPr="00E90F29">
        <w:rPr>
          <w:rStyle w:val="FootnoteReference"/>
          <w:rFonts w:ascii="Arial" w:hAnsi="Arial" w:cs="Arial"/>
          <w:sz w:val="22"/>
          <w:szCs w:val="22"/>
        </w:rPr>
        <w:footnoteReference w:id="102"/>
      </w:r>
      <w:r w:rsidRPr="00E90F29">
        <w:rPr>
          <w:rFonts w:ascii="Arial" w:hAnsi="Arial" w:cs="Arial"/>
          <w:sz w:val="22"/>
          <w:szCs w:val="22"/>
        </w:rPr>
        <w:t xml:space="preserve"> </w:t>
      </w:r>
    </w:p>
    <w:p w14:paraId="126BE343" w14:textId="77777777" w:rsidR="001B1252" w:rsidRPr="00E90F29" w:rsidRDefault="001B1252" w:rsidP="00E90F29">
      <w:pPr>
        <w:spacing w:line="360" w:lineRule="auto"/>
        <w:jc w:val="both"/>
        <w:rPr>
          <w:rFonts w:ascii="Arial" w:hAnsi="Arial" w:cs="Arial"/>
          <w:sz w:val="22"/>
          <w:szCs w:val="22"/>
        </w:rPr>
      </w:pPr>
    </w:p>
    <w:p w14:paraId="3075D7AE" w14:textId="4E93401E" w:rsidR="005431BD" w:rsidRPr="00E90F29" w:rsidRDefault="001B1252" w:rsidP="00E90F29">
      <w:pPr>
        <w:spacing w:line="360" w:lineRule="auto"/>
        <w:jc w:val="both"/>
        <w:rPr>
          <w:rFonts w:ascii="Arial" w:hAnsi="Arial" w:cs="Arial"/>
          <w:sz w:val="22"/>
          <w:szCs w:val="22"/>
        </w:rPr>
      </w:pPr>
      <w:r w:rsidRPr="00E90F29">
        <w:rPr>
          <w:rFonts w:ascii="Arial" w:hAnsi="Arial" w:cs="Arial"/>
          <w:sz w:val="22"/>
          <w:szCs w:val="22"/>
        </w:rPr>
        <w:t>Thirdly, the Panel considered whether the Mission’s Internal Investigation system offered such a relief. It came to the view that it did not in this case, based on a number of considerations: first, the Panel noted the Mission’s failure to have the alleged victim interviewed about the incident so that her version of events could be compared with that of the alleged perpetrator. The Panel noted that after an initial attempt to contact the victim, the Mission did not take any other steps which could have been reasonably expected in the circumstances with a view to obtaining relevant information from the complainant.</w:t>
      </w:r>
      <w:r w:rsidR="00A66981" w:rsidRPr="00E90F29">
        <w:rPr>
          <w:rFonts w:ascii="Arial" w:hAnsi="Arial" w:cs="Arial"/>
          <w:sz w:val="22"/>
          <w:szCs w:val="22"/>
        </w:rPr>
        <w:t xml:space="preserve"> The Panel pointed out that the Mission was immediately aware of the </w:t>
      </w:r>
      <w:r w:rsidR="00A66981" w:rsidRPr="00E90F29">
        <w:rPr>
          <w:rFonts w:ascii="Arial" w:hAnsi="Arial" w:cs="Arial"/>
          <w:sz w:val="22"/>
          <w:szCs w:val="22"/>
        </w:rPr>
        <w:lastRenderedPageBreak/>
        <w:t>incident and thus could have been expected to renew its efforts to take a statement from her. No persuasive grounds for this failure to establish the circumstances were adduced so that the Panel concluded that the complainant was not given an opportunity to be heard.</w:t>
      </w:r>
      <w:r w:rsidR="00A66981" w:rsidRPr="00E90F29">
        <w:rPr>
          <w:rStyle w:val="FootnoteReference"/>
          <w:rFonts w:ascii="Arial" w:hAnsi="Arial" w:cs="Arial"/>
          <w:sz w:val="22"/>
          <w:szCs w:val="22"/>
        </w:rPr>
        <w:footnoteReference w:id="103"/>
      </w:r>
      <w:r w:rsidR="005431BD" w:rsidRPr="00E90F29">
        <w:rPr>
          <w:rFonts w:ascii="Arial" w:hAnsi="Arial" w:cs="Arial"/>
          <w:sz w:val="22"/>
          <w:szCs w:val="22"/>
        </w:rPr>
        <w:t xml:space="preserve"> The Panel added the following about the Mission’s Internal Investigations system before concluded that it did not provide an adequate remedy as understood under Article 13 of the ECHR:</w:t>
      </w:r>
    </w:p>
    <w:p w14:paraId="1ACD3C69" w14:textId="77777777" w:rsidR="005431BD" w:rsidRPr="00E90F29" w:rsidRDefault="005431BD" w:rsidP="00E90F29">
      <w:pPr>
        <w:spacing w:line="360" w:lineRule="auto"/>
        <w:jc w:val="both"/>
        <w:rPr>
          <w:rFonts w:ascii="Arial" w:hAnsi="Arial" w:cs="Arial"/>
          <w:sz w:val="22"/>
          <w:szCs w:val="22"/>
        </w:rPr>
      </w:pPr>
    </w:p>
    <w:p w14:paraId="31F1F7D7" w14:textId="5C6F8D9B" w:rsidR="005431BD" w:rsidRPr="00E90F29" w:rsidRDefault="005431BD" w:rsidP="00E90F29">
      <w:pPr>
        <w:pStyle w:val="ListParagraph"/>
        <w:spacing w:line="360" w:lineRule="auto"/>
        <w:ind w:left="567"/>
        <w:jc w:val="both"/>
        <w:rPr>
          <w:rFonts w:ascii="Arial" w:hAnsi="Arial" w:cs="Arial"/>
          <w:sz w:val="22"/>
          <w:szCs w:val="22"/>
        </w:rPr>
      </w:pPr>
      <w:r w:rsidRPr="00E90F29">
        <w:rPr>
          <w:rFonts w:ascii="Arial" w:hAnsi="Arial" w:cs="Arial"/>
          <w:sz w:val="22"/>
          <w:szCs w:val="22"/>
        </w:rPr>
        <w:t xml:space="preserve">“76. It is not necessary for the Panel to take a position, in the circumstances of the present case, as to whether EULEX’s internal investigations could be said to constitute an “effective remedy” where an allegation of human rights violation is at stake. It merely notes, in that regard, that the regime in place is not “independent” of EULEX, that it has not been shown that it can directly lead to an award of compensation to a victim, that it cannot render binding decisions and leaves the final decision upon the application of a disciplinary measure to the discretion of the </w:t>
      </w:r>
      <w:proofErr w:type="spellStart"/>
      <w:r w:rsidRPr="00E90F29">
        <w:rPr>
          <w:rFonts w:ascii="Arial" w:hAnsi="Arial" w:cs="Arial"/>
          <w:sz w:val="22"/>
          <w:szCs w:val="22"/>
        </w:rPr>
        <w:t>HoM</w:t>
      </w:r>
      <w:proofErr w:type="spellEnd"/>
      <w:r w:rsidRPr="00E90F29">
        <w:rPr>
          <w:rFonts w:ascii="Arial" w:hAnsi="Arial" w:cs="Arial"/>
          <w:sz w:val="22"/>
          <w:szCs w:val="22"/>
        </w:rPr>
        <w:t xml:space="preserve">. In any event, in the present case the applicant was not given an opportunity to participate in the internal investigation in any procedural role.  </w:t>
      </w:r>
    </w:p>
    <w:p w14:paraId="7785FE3A" w14:textId="77777777" w:rsidR="005431BD" w:rsidRPr="00E90F29" w:rsidRDefault="005431BD" w:rsidP="00E90F29">
      <w:pPr>
        <w:pStyle w:val="ListParagraph"/>
        <w:spacing w:line="360" w:lineRule="auto"/>
        <w:ind w:left="567"/>
        <w:jc w:val="both"/>
        <w:rPr>
          <w:rFonts w:ascii="Arial" w:hAnsi="Arial" w:cs="Arial"/>
          <w:sz w:val="22"/>
          <w:szCs w:val="22"/>
        </w:rPr>
      </w:pPr>
      <w:r w:rsidRPr="00E90F29">
        <w:rPr>
          <w:rFonts w:ascii="Arial" w:hAnsi="Arial" w:cs="Arial"/>
          <w:sz w:val="22"/>
          <w:szCs w:val="22"/>
        </w:rPr>
        <w:t xml:space="preserve">77. It is further noted that the internal investigation in this case concluded that a violation of the Code of Conduct did in fact occur (see par. 16 above and </w:t>
      </w:r>
      <w:r w:rsidRPr="00E90F29">
        <w:rPr>
          <w:rFonts w:ascii="Arial" w:hAnsi="Arial" w:cs="Arial"/>
          <w:sz w:val="22"/>
          <w:szCs w:val="22"/>
          <w:lang w:val="en-GB"/>
        </w:rPr>
        <w:t xml:space="preserve">2012-14, </w:t>
      </w:r>
      <w:hyperlink r:id="rId18" w:history="1">
        <w:proofErr w:type="spellStart"/>
        <w:r w:rsidRPr="00E90F29">
          <w:rPr>
            <w:rStyle w:val="Hyperlink"/>
            <w:rFonts w:ascii="Arial" w:hAnsi="Arial" w:cs="Arial"/>
            <w:i/>
            <w:sz w:val="22"/>
            <w:szCs w:val="22"/>
            <w:lang w:val="en-GB"/>
          </w:rPr>
          <w:t>Zahiti</w:t>
        </w:r>
        <w:proofErr w:type="spellEnd"/>
        <w:r w:rsidRPr="00E90F29">
          <w:rPr>
            <w:rStyle w:val="Hyperlink"/>
            <w:rFonts w:ascii="Arial" w:hAnsi="Arial" w:cs="Arial"/>
            <w:i/>
            <w:sz w:val="22"/>
            <w:szCs w:val="22"/>
            <w:lang w:val="en-GB"/>
          </w:rPr>
          <w:t xml:space="preserve"> v EULEX</w:t>
        </w:r>
      </w:hyperlink>
      <w:r w:rsidRPr="00E90F29">
        <w:rPr>
          <w:rFonts w:ascii="Arial" w:hAnsi="Arial" w:cs="Arial"/>
          <w:sz w:val="22"/>
          <w:szCs w:val="22"/>
          <w:lang w:val="en-GB"/>
        </w:rPr>
        <w:t xml:space="preserve">, 7 June 2013, </w:t>
      </w:r>
      <w:r w:rsidRPr="00E90F29">
        <w:rPr>
          <w:rFonts w:ascii="Arial" w:hAnsi="Arial" w:cs="Arial"/>
          <w:sz w:val="22"/>
          <w:szCs w:val="22"/>
        </w:rPr>
        <w:t xml:space="preserve">par. 27). In the proceedings before the Panel EULEX advanced no arguments to demonstrate that in those circumstances, it was consistent with the rights of the complainant to abandon the enquiry without any formal decision being given and thereby deny her the possibility of seeking redress. Nor has it been explained satisfactorily why the possibility of lifting the immunity of the staff member was not considered.  </w:t>
      </w:r>
    </w:p>
    <w:p w14:paraId="376B696B" w14:textId="77777777" w:rsidR="005431BD" w:rsidRPr="00E90F29" w:rsidRDefault="005431BD" w:rsidP="00E90F29">
      <w:pPr>
        <w:pStyle w:val="ListParagraph"/>
        <w:spacing w:line="360" w:lineRule="auto"/>
        <w:ind w:left="567"/>
        <w:jc w:val="both"/>
        <w:rPr>
          <w:rFonts w:ascii="Arial" w:hAnsi="Arial" w:cs="Arial"/>
          <w:sz w:val="22"/>
          <w:szCs w:val="22"/>
        </w:rPr>
      </w:pPr>
      <w:r w:rsidRPr="00E90F29">
        <w:rPr>
          <w:rFonts w:ascii="Arial" w:hAnsi="Arial" w:cs="Arial"/>
          <w:sz w:val="22"/>
          <w:szCs w:val="22"/>
        </w:rPr>
        <w:t xml:space="preserve">78. Further, the Panel notes that it has not been shown that either the Code of Conduct applicable at the time, nor the current Code of Conduct, provided a legal basis for the closure of an enquiry into the case due to the repatriation of the seconded staff member. These instruments provide for such a possibility </w:t>
      </w:r>
      <w:r w:rsidRPr="00E90F29">
        <w:rPr>
          <w:rFonts w:ascii="Arial" w:hAnsi="Arial" w:cs="Arial"/>
          <w:i/>
          <w:sz w:val="22"/>
          <w:szCs w:val="22"/>
        </w:rPr>
        <w:t>only</w:t>
      </w:r>
      <w:r w:rsidRPr="00E90F29">
        <w:rPr>
          <w:rFonts w:ascii="Arial" w:hAnsi="Arial" w:cs="Arial"/>
          <w:sz w:val="22"/>
          <w:szCs w:val="22"/>
        </w:rPr>
        <w:t xml:space="preserve"> for cases that appear not to be sufficiently substantiated. It has not been argued, let alone shown, that the complainant’s allegations were unsubstantiated. </w:t>
      </w:r>
    </w:p>
    <w:p w14:paraId="12484691" w14:textId="2ACCA23C" w:rsidR="005431BD" w:rsidRPr="00E90F29" w:rsidRDefault="005431BD" w:rsidP="00E90F29">
      <w:pPr>
        <w:pStyle w:val="ListParagraph"/>
        <w:spacing w:line="360" w:lineRule="auto"/>
        <w:ind w:left="567"/>
        <w:jc w:val="both"/>
        <w:rPr>
          <w:rFonts w:ascii="Arial" w:hAnsi="Arial" w:cs="Arial"/>
          <w:sz w:val="22"/>
          <w:szCs w:val="22"/>
        </w:rPr>
      </w:pPr>
      <w:r w:rsidRPr="00E90F29">
        <w:rPr>
          <w:rFonts w:ascii="Arial" w:hAnsi="Arial" w:cs="Arial"/>
          <w:sz w:val="22"/>
          <w:szCs w:val="22"/>
        </w:rPr>
        <w:t xml:space="preserve">79. Furthermore, the Panel accepts that from the moment of repatriation of individuals subject to it, they cease to be EULEX staff members. This, however, does not absolve the Mission from its obligations regarding human rights accountability. The departure of the staff member did not therefore put an end to </w:t>
      </w:r>
      <w:r w:rsidRPr="00E90F29">
        <w:rPr>
          <w:rFonts w:ascii="Arial" w:hAnsi="Arial" w:cs="Arial"/>
          <w:sz w:val="22"/>
          <w:szCs w:val="22"/>
        </w:rPr>
        <w:lastRenderedPageBreak/>
        <w:t>the Mission’s obligation to abide by the complainant’s human rights and to act in accordance therewith. It is for EULEX to decide what measures are available to it in such situations. In the present case EULEX neither contacted EEAS Services with a view to liaising through them with the authorities of the sending state, if only to ensure that the conduct of the staff member should be properly recorded for the purposes of his professional evaluation, nor has EULEX demonstrated in the proceedings before the Panel that it ever envisaged doing so.”</w:t>
      </w:r>
    </w:p>
    <w:p w14:paraId="46CD4B23" w14:textId="77777777" w:rsidR="004F1F82" w:rsidRPr="00E90F29" w:rsidRDefault="004F1F82" w:rsidP="00E90F29">
      <w:pPr>
        <w:spacing w:line="360" w:lineRule="auto"/>
        <w:jc w:val="both"/>
        <w:rPr>
          <w:rFonts w:ascii="Arial" w:hAnsi="Arial" w:cs="Arial"/>
          <w:sz w:val="22"/>
          <w:szCs w:val="22"/>
        </w:rPr>
      </w:pPr>
    </w:p>
    <w:p w14:paraId="00E94B24" w14:textId="77777777" w:rsidR="009F3F93" w:rsidRPr="00E90F29" w:rsidRDefault="009F3F93" w:rsidP="00E90F29">
      <w:pPr>
        <w:spacing w:line="360" w:lineRule="auto"/>
        <w:jc w:val="both"/>
        <w:rPr>
          <w:rFonts w:ascii="Arial" w:hAnsi="Arial" w:cs="Arial"/>
          <w:sz w:val="22"/>
          <w:szCs w:val="22"/>
        </w:rPr>
      </w:pPr>
      <w:r w:rsidRPr="00E90F29">
        <w:rPr>
          <w:rFonts w:ascii="Arial" w:hAnsi="Arial" w:cs="Arial"/>
          <w:sz w:val="22"/>
          <w:szCs w:val="22"/>
        </w:rPr>
        <w:t xml:space="preserve">The Panel finally added that what remedy might be left to the complainant (namely, to try to take her case outside of Kosovo to the competent national authorities of the concerned EULEX staff member) would be clearly too onerous and of uncertain availability to be characterized as “effective” in the circumstances. The Panel also noted that, considering that such a “remedy” falls exclusively within the jurisdiction and competence of the national authorities, it could not be said to serve as an effective remedy when it comes to EULEX’s own actions and responsibility. In this regard, the Panel underlines that Article 10 of the Joint Action cannot be read as to imply that the seconding state of a staff member takes over EULEX’s institutional accountability for human rights violations. </w:t>
      </w:r>
    </w:p>
    <w:p w14:paraId="0A56A2AD" w14:textId="77777777" w:rsidR="009F3F93" w:rsidRPr="00E90F29" w:rsidRDefault="009F3F93" w:rsidP="00E90F29">
      <w:pPr>
        <w:spacing w:line="360" w:lineRule="auto"/>
        <w:jc w:val="both"/>
        <w:rPr>
          <w:rFonts w:ascii="Arial" w:hAnsi="Arial" w:cs="Arial"/>
          <w:sz w:val="22"/>
          <w:szCs w:val="22"/>
        </w:rPr>
      </w:pPr>
    </w:p>
    <w:p w14:paraId="1917982A" w14:textId="10F461BF" w:rsidR="009F3F93" w:rsidRPr="00E90F29" w:rsidRDefault="009F3F93" w:rsidP="00E90F29">
      <w:pPr>
        <w:spacing w:line="360" w:lineRule="auto"/>
        <w:jc w:val="both"/>
        <w:rPr>
          <w:rFonts w:ascii="Arial" w:hAnsi="Arial" w:cs="Arial"/>
          <w:sz w:val="22"/>
          <w:szCs w:val="22"/>
        </w:rPr>
      </w:pPr>
      <w:r w:rsidRPr="00E90F29">
        <w:rPr>
          <w:rFonts w:ascii="Arial" w:hAnsi="Arial" w:cs="Arial"/>
          <w:sz w:val="22"/>
          <w:szCs w:val="22"/>
        </w:rPr>
        <w:t xml:space="preserve">The Panel, therefore, concluded, in the circumstances of this case, that EULEX violated the right of the complainant to an effective remedy, as guaranteed </w:t>
      </w:r>
      <w:r w:rsidRPr="00E90F29">
        <w:rPr>
          <w:rFonts w:ascii="Arial" w:hAnsi="Arial" w:cs="Arial"/>
          <w:i/>
          <w:sz w:val="22"/>
          <w:szCs w:val="22"/>
        </w:rPr>
        <w:t>inter alia</w:t>
      </w:r>
      <w:r w:rsidRPr="00E90F29">
        <w:rPr>
          <w:rFonts w:ascii="Arial" w:hAnsi="Arial" w:cs="Arial"/>
          <w:sz w:val="22"/>
          <w:szCs w:val="22"/>
        </w:rPr>
        <w:t xml:space="preserve"> under Article 13 of the ECHR, enabling her to seek reparation for the harm done to her by an EULEX staff. </w:t>
      </w:r>
    </w:p>
    <w:p w14:paraId="713C160F" w14:textId="77777777" w:rsidR="00F17407" w:rsidRPr="00E90F29" w:rsidRDefault="00F17407" w:rsidP="00E90F29">
      <w:pPr>
        <w:spacing w:line="360" w:lineRule="auto"/>
        <w:jc w:val="both"/>
        <w:rPr>
          <w:rFonts w:ascii="Arial" w:hAnsi="Arial" w:cs="Arial"/>
          <w:sz w:val="22"/>
          <w:szCs w:val="22"/>
          <w:lang w:val="en-GB"/>
        </w:rPr>
      </w:pPr>
    </w:p>
    <w:p w14:paraId="4CC860C5" w14:textId="6EDE8DDD" w:rsidR="004F1F82" w:rsidRPr="00E90F29" w:rsidRDefault="00F71527" w:rsidP="00E90F29">
      <w:pPr>
        <w:pStyle w:val="Heading2"/>
      </w:pPr>
      <w:bookmarkStart w:id="44" w:name="_Toc513713986"/>
      <w:r w:rsidRPr="00E90F29">
        <w:t xml:space="preserve">3.9 </w:t>
      </w:r>
      <w:r w:rsidR="008732C4" w:rsidRPr="00E90F29">
        <w:t>Right to property</w:t>
      </w:r>
      <w:bookmarkEnd w:id="44"/>
      <w:r w:rsidR="008732C4" w:rsidRPr="00E90F29">
        <w:t xml:space="preserve"> </w:t>
      </w:r>
    </w:p>
    <w:p w14:paraId="2AADC87D" w14:textId="1340CBDC" w:rsidR="00D34A97" w:rsidRPr="00E90F29" w:rsidRDefault="00D34A97" w:rsidP="00E90F29">
      <w:pPr>
        <w:pStyle w:val="Heading3"/>
      </w:pPr>
      <w:bookmarkStart w:id="45" w:name="_Toc513713987"/>
      <w:r w:rsidRPr="00E90F29">
        <w:t>3.</w:t>
      </w:r>
      <w:r w:rsidR="00F71527" w:rsidRPr="00E90F29">
        <w:t>9</w:t>
      </w:r>
      <w:r w:rsidRPr="00E90F29">
        <w:t>.1 Reliance on Article 1 Protocol 1 ECHR</w:t>
      </w:r>
      <w:bookmarkEnd w:id="45"/>
      <w:r w:rsidRPr="00E90F29">
        <w:t xml:space="preserve"> </w:t>
      </w:r>
    </w:p>
    <w:p w14:paraId="5AC0A95E" w14:textId="136AC30D" w:rsidR="008732C4" w:rsidRPr="00E90F29" w:rsidRDefault="00F67F3A"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Panel also </w:t>
      </w:r>
      <w:r w:rsidR="00BC1C89" w:rsidRPr="00E90F29">
        <w:rPr>
          <w:rFonts w:ascii="Arial" w:hAnsi="Arial" w:cs="Arial"/>
          <w:sz w:val="22"/>
          <w:szCs w:val="22"/>
          <w:lang w:val="en-GB"/>
        </w:rPr>
        <w:t>dealt</w:t>
      </w:r>
      <w:r w:rsidRPr="00E90F29">
        <w:rPr>
          <w:rFonts w:ascii="Arial" w:hAnsi="Arial" w:cs="Arial"/>
          <w:sz w:val="22"/>
          <w:szCs w:val="22"/>
          <w:lang w:val="en-GB"/>
        </w:rPr>
        <w:t xml:space="preserve"> with a number of cases involving issues pertaining to the right </w:t>
      </w:r>
      <w:r w:rsidR="00BC1C89" w:rsidRPr="00E90F29">
        <w:rPr>
          <w:rFonts w:ascii="Arial" w:hAnsi="Arial" w:cs="Arial"/>
          <w:sz w:val="22"/>
          <w:szCs w:val="22"/>
          <w:lang w:val="en-GB"/>
        </w:rPr>
        <w:t>of</w:t>
      </w:r>
      <w:r w:rsidRPr="00E90F29">
        <w:rPr>
          <w:rFonts w:ascii="Arial" w:hAnsi="Arial" w:cs="Arial"/>
          <w:sz w:val="22"/>
          <w:szCs w:val="22"/>
          <w:lang w:val="en-GB"/>
        </w:rPr>
        <w:t xml:space="preserve"> property. To define the boundaries of that right, the Panel relied upon and applied Article 1 of Protocol 1 to the ECHR. </w:t>
      </w:r>
    </w:p>
    <w:p w14:paraId="10E632C0" w14:textId="77777777" w:rsidR="00F67F3A" w:rsidRPr="00E90F29" w:rsidRDefault="00F67F3A" w:rsidP="00E90F29">
      <w:pPr>
        <w:spacing w:line="360" w:lineRule="auto"/>
        <w:jc w:val="both"/>
        <w:rPr>
          <w:rFonts w:ascii="Arial" w:hAnsi="Arial" w:cs="Arial"/>
          <w:sz w:val="22"/>
          <w:szCs w:val="22"/>
          <w:lang w:val="en-GB"/>
        </w:rPr>
      </w:pPr>
    </w:p>
    <w:p w14:paraId="4023A236" w14:textId="7C52B1E5" w:rsidR="00D34A97" w:rsidRPr="00E90F29" w:rsidRDefault="00D34A97" w:rsidP="00E90F29">
      <w:pPr>
        <w:pStyle w:val="Heading3"/>
      </w:pPr>
      <w:bookmarkStart w:id="46" w:name="_Toc513713988"/>
      <w:r w:rsidRPr="00E90F29">
        <w:t>3.</w:t>
      </w:r>
      <w:r w:rsidR="00F71527" w:rsidRPr="00E90F29">
        <w:t>9</w:t>
      </w:r>
      <w:r w:rsidRPr="00E90F29">
        <w:t>.2 Notion of possession</w:t>
      </w:r>
      <w:bookmarkEnd w:id="46"/>
    </w:p>
    <w:p w14:paraId="5FD2EACA" w14:textId="01C98F69" w:rsidR="00F67F3A" w:rsidRPr="00E90F29" w:rsidRDefault="00F67F3A" w:rsidP="00E90F29">
      <w:pPr>
        <w:spacing w:line="360" w:lineRule="auto"/>
        <w:jc w:val="both"/>
        <w:rPr>
          <w:rFonts w:ascii="Arial" w:hAnsi="Arial" w:cs="Arial"/>
          <w:sz w:val="22"/>
          <w:szCs w:val="22"/>
        </w:rPr>
      </w:pPr>
      <w:r w:rsidRPr="00E90F29">
        <w:rPr>
          <w:rFonts w:ascii="Arial" w:hAnsi="Arial" w:cs="Arial"/>
          <w:sz w:val="22"/>
          <w:szCs w:val="22"/>
          <w:lang w:val="en-GB"/>
        </w:rPr>
        <w:t xml:space="preserve">In line with that guarantee, the Panel has made it clear that </w:t>
      </w:r>
      <w:r w:rsidRPr="00E90F29">
        <w:rPr>
          <w:rFonts w:ascii="Arial" w:hAnsi="Arial" w:cs="Arial"/>
          <w:sz w:val="22"/>
          <w:szCs w:val="22"/>
        </w:rPr>
        <w:t>an individual can allege a violation of Article 1 of Protocol No. 1 only in so far as the impugned decisions related to his “possessions” within the meaning of this provision. “Possessions”</w:t>
      </w:r>
      <w:r w:rsidR="00BC1C89" w:rsidRPr="00E90F29">
        <w:rPr>
          <w:rFonts w:ascii="Arial" w:hAnsi="Arial" w:cs="Arial"/>
          <w:sz w:val="22"/>
          <w:szCs w:val="22"/>
        </w:rPr>
        <w:t>, the Panel held,</w:t>
      </w:r>
      <w:r w:rsidRPr="00E90F29">
        <w:rPr>
          <w:rFonts w:ascii="Arial" w:hAnsi="Arial" w:cs="Arial"/>
          <w:sz w:val="22"/>
          <w:szCs w:val="22"/>
        </w:rPr>
        <w:t xml:space="preserve"> can be either “existing possessions” or assets, including claims, in respect of which the applicant can argue that he or she has at least a “legitimate expectation” of </w:t>
      </w:r>
      <w:r w:rsidRPr="00E90F29">
        <w:rPr>
          <w:rFonts w:ascii="Arial" w:hAnsi="Arial" w:cs="Arial"/>
          <w:sz w:val="22"/>
          <w:szCs w:val="22"/>
        </w:rPr>
        <w:lastRenderedPageBreak/>
        <w:t>obtaining effective enjoyment of a property right.</w:t>
      </w:r>
      <w:r w:rsidRPr="00E90F29">
        <w:rPr>
          <w:rStyle w:val="FootnoteReference"/>
          <w:rFonts w:ascii="Arial" w:hAnsi="Arial" w:cs="Arial"/>
          <w:sz w:val="22"/>
          <w:szCs w:val="22"/>
        </w:rPr>
        <w:footnoteReference w:id="104"/>
      </w:r>
      <w:r w:rsidR="001003FB" w:rsidRPr="00E90F29">
        <w:rPr>
          <w:rFonts w:ascii="Arial" w:hAnsi="Arial" w:cs="Arial"/>
          <w:sz w:val="22"/>
          <w:szCs w:val="22"/>
        </w:rPr>
        <w:t xml:space="preserve"> The Panel added the following regarding the notion of “possession”: </w:t>
      </w:r>
    </w:p>
    <w:p w14:paraId="56FF4F19" w14:textId="77777777" w:rsidR="001003FB" w:rsidRPr="00E90F29" w:rsidRDefault="001003FB" w:rsidP="00E90F29">
      <w:pPr>
        <w:spacing w:line="360" w:lineRule="auto"/>
        <w:jc w:val="both"/>
        <w:rPr>
          <w:rFonts w:ascii="Arial" w:hAnsi="Arial" w:cs="Arial"/>
          <w:sz w:val="22"/>
          <w:szCs w:val="22"/>
        </w:rPr>
      </w:pPr>
    </w:p>
    <w:p w14:paraId="3CA4A4F6" w14:textId="6D70BF49" w:rsidR="001003FB" w:rsidRPr="00E90F29" w:rsidRDefault="001003FB" w:rsidP="00E90F29">
      <w:pPr>
        <w:spacing w:line="360" w:lineRule="auto"/>
        <w:ind w:left="567"/>
        <w:jc w:val="both"/>
        <w:rPr>
          <w:rFonts w:ascii="Arial" w:hAnsi="Arial" w:cs="Arial"/>
          <w:sz w:val="22"/>
          <w:szCs w:val="22"/>
        </w:rPr>
      </w:pPr>
      <w:r w:rsidRPr="00E90F29">
        <w:rPr>
          <w:rFonts w:ascii="Arial" w:hAnsi="Arial" w:cs="Arial"/>
          <w:sz w:val="22"/>
          <w:szCs w:val="22"/>
        </w:rPr>
        <w:t>“The concept of “possessions” in the first part of Article 1 of Protocol No. 1 has an autonomous meaning which is not limited to the ownership of physical goods and is independent from the formal classification in domestic law: certain other rights and interests constituting assets can also be regarded as “property rights”, and thus as “possessions” for the purposes of this provision. The issue that needs to be examined in each case is whether the circumstances of the case, considered as a whole, conferred on the applicant title to a substantive interest protected by Article 1 of Protocol No. 1.”</w:t>
      </w:r>
      <w:r w:rsidRPr="00E90F29">
        <w:rPr>
          <w:rStyle w:val="FootnoteReference"/>
          <w:rFonts w:ascii="Arial" w:hAnsi="Arial" w:cs="Arial"/>
          <w:sz w:val="22"/>
          <w:szCs w:val="22"/>
        </w:rPr>
        <w:footnoteReference w:id="105"/>
      </w:r>
    </w:p>
    <w:p w14:paraId="6A35BAC0" w14:textId="1E4FF1E0" w:rsidR="00F67F3A" w:rsidRPr="00E90F29" w:rsidRDefault="00F67F3A" w:rsidP="00E90F29">
      <w:pPr>
        <w:spacing w:line="360" w:lineRule="auto"/>
        <w:jc w:val="both"/>
        <w:rPr>
          <w:rFonts w:ascii="Arial" w:hAnsi="Arial" w:cs="Arial"/>
          <w:sz w:val="22"/>
          <w:szCs w:val="22"/>
          <w:lang w:val="en-GB"/>
        </w:rPr>
      </w:pPr>
    </w:p>
    <w:p w14:paraId="1AE80FED" w14:textId="1F161DAD" w:rsidR="001003FB" w:rsidRPr="00E90F29" w:rsidRDefault="001003FB" w:rsidP="00E90F29">
      <w:pPr>
        <w:spacing w:line="360" w:lineRule="auto"/>
        <w:jc w:val="both"/>
        <w:rPr>
          <w:rFonts w:ascii="Arial" w:hAnsi="Arial" w:cs="Arial"/>
          <w:sz w:val="22"/>
          <w:szCs w:val="22"/>
        </w:rPr>
      </w:pPr>
      <w:r w:rsidRPr="00E90F29">
        <w:rPr>
          <w:rFonts w:ascii="Arial" w:hAnsi="Arial" w:cs="Arial"/>
          <w:sz w:val="22"/>
          <w:szCs w:val="22"/>
        </w:rPr>
        <w:t xml:space="preserve">No legitimate expectation </w:t>
      </w:r>
      <w:r w:rsidR="00E92845" w:rsidRPr="00E90F29">
        <w:rPr>
          <w:rFonts w:ascii="Arial" w:hAnsi="Arial" w:cs="Arial"/>
          <w:sz w:val="22"/>
          <w:szCs w:val="22"/>
        </w:rPr>
        <w:t xml:space="preserve">of enjoyment of property </w:t>
      </w:r>
      <w:r w:rsidRPr="00E90F29">
        <w:rPr>
          <w:rFonts w:ascii="Arial" w:hAnsi="Arial" w:cs="Arial"/>
          <w:sz w:val="22"/>
          <w:szCs w:val="22"/>
        </w:rPr>
        <w:t>can be said to arise where there is a dispute as to the correct interpretation and application of domestic law and the applicant’s submissions are subsequently rejected by the national courts.</w:t>
      </w:r>
      <w:r w:rsidRPr="00E90F29">
        <w:rPr>
          <w:rStyle w:val="FootnoteReference"/>
          <w:rFonts w:ascii="Arial" w:hAnsi="Arial" w:cs="Arial"/>
          <w:sz w:val="22"/>
          <w:szCs w:val="22"/>
        </w:rPr>
        <w:footnoteReference w:id="106"/>
      </w:r>
    </w:p>
    <w:p w14:paraId="1611394F" w14:textId="77777777" w:rsidR="00D34A97" w:rsidRPr="00E90F29" w:rsidRDefault="00D34A97" w:rsidP="00E90F29">
      <w:pPr>
        <w:spacing w:line="360" w:lineRule="auto"/>
        <w:jc w:val="both"/>
        <w:rPr>
          <w:rFonts w:ascii="Arial" w:hAnsi="Arial" w:cs="Arial"/>
          <w:sz w:val="22"/>
          <w:szCs w:val="22"/>
        </w:rPr>
      </w:pPr>
    </w:p>
    <w:p w14:paraId="45744A34" w14:textId="79ADD855" w:rsidR="001003FB" w:rsidRPr="00E90F29" w:rsidRDefault="00EE5932" w:rsidP="00E90F29">
      <w:pPr>
        <w:pStyle w:val="Heading3"/>
      </w:pPr>
      <w:bookmarkStart w:id="47" w:name="_Toc513713989"/>
      <w:r w:rsidRPr="00E90F29">
        <w:t>3.</w:t>
      </w:r>
      <w:r w:rsidR="00F71527" w:rsidRPr="00E90F29">
        <w:t>9</w:t>
      </w:r>
      <w:r w:rsidRPr="00E90F29">
        <w:t xml:space="preserve">.3 </w:t>
      </w:r>
      <w:r w:rsidR="001003FB" w:rsidRPr="00E90F29">
        <w:t>Conditions of lawful interference with right to property</w:t>
      </w:r>
      <w:bookmarkEnd w:id="47"/>
      <w:r w:rsidR="001003FB" w:rsidRPr="00E90F29">
        <w:t xml:space="preserve"> </w:t>
      </w:r>
    </w:p>
    <w:p w14:paraId="27636470" w14:textId="0B1DC879" w:rsidR="001003FB" w:rsidRPr="00E90F29" w:rsidRDefault="001003FB" w:rsidP="00E90F29">
      <w:pPr>
        <w:spacing w:line="360" w:lineRule="auto"/>
        <w:jc w:val="both"/>
        <w:rPr>
          <w:rFonts w:ascii="Arial" w:hAnsi="Arial" w:cs="Arial"/>
          <w:sz w:val="22"/>
          <w:szCs w:val="22"/>
        </w:rPr>
      </w:pPr>
      <w:r w:rsidRPr="00E90F29">
        <w:rPr>
          <w:rFonts w:ascii="Arial" w:hAnsi="Arial" w:cs="Arial"/>
          <w:sz w:val="22"/>
          <w:szCs w:val="22"/>
        </w:rPr>
        <w:t xml:space="preserve">The Panel made it clear that the first and most important requirement of Article 1 of Protocol No. 1 is that any interference by a public authority with the peaceful enjoyment of possessions should be </w:t>
      </w:r>
      <w:r w:rsidR="00BD16E7" w:rsidRPr="00E90F29">
        <w:rPr>
          <w:rFonts w:ascii="Arial" w:hAnsi="Arial" w:cs="Arial"/>
          <w:sz w:val="22"/>
          <w:szCs w:val="22"/>
        </w:rPr>
        <w:t xml:space="preserve">its </w:t>
      </w:r>
      <w:r w:rsidRPr="00E90F29">
        <w:rPr>
          <w:rFonts w:ascii="Arial" w:hAnsi="Arial" w:cs="Arial"/>
          <w:sz w:val="22"/>
          <w:szCs w:val="22"/>
        </w:rPr>
        <w:t>lawful</w:t>
      </w:r>
      <w:r w:rsidR="00BD16E7" w:rsidRPr="00E90F29">
        <w:rPr>
          <w:rFonts w:ascii="Arial" w:hAnsi="Arial" w:cs="Arial"/>
          <w:sz w:val="22"/>
          <w:szCs w:val="22"/>
        </w:rPr>
        <w:t>ness</w:t>
      </w:r>
      <w:r w:rsidRPr="00E90F29">
        <w:rPr>
          <w:rFonts w:ascii="Arial" w:hAnsi="Arial" w:cs="Arial"/>
          <w:sz w:val="22"/>
          <w:szCs w:val="22"/>
        </w:rPr>
        <w:t xml:space="preserve">: a deprivation of possessions </w:t>
      </w:r>
      <w:r w:rsidR="00BD16E7" w:rsidRPr="00E90F29">
        <w:rPr>
          <w:rFonts w:ascii="Arial" w:hAnsi="Arial" w:cs="Arial"/>
          <w:sz w:val="22"/>
          <w:szCs w:val="22"/>
        </w:rPr>
        <w:t xml:space="preserve">is permissible </w:t>
      </w:r>
      <w:r w:rsidRPr="00E90F29">
        <w:rPr>
          <w:rFonts w:ascii="Arial" w:hAnsi="Arial" w:cs="Arial"/>
          <w:sz w:val="22"/>
          <w:szCs w:val="22"/>
        </w:rPr>
        <w:lastRenderedPageBreak/>
        <w:t xml:space="preserve">only “subject to the conditions provided for by law” and </w:t>
      </w:r>
      <w:r w:rsidR="00BD16E7" w:rsidRPr="00E90F29">
        <w:rPr>
          <w:rFonts w:ascii="Arial" w:hAnsi="Arial" w:cs="Arial"/>
          <w:sz w:val="22"/>
          <w:szCs w:val="22"/>
        </w:rPr>
        <w:t>authorities</w:t>
      </w:r>
      <w:r w:rsidRPr="00E90F29">
        <w:rPr>
          <w:rFonts w:ascii="Arial" w:hAnsi="Arial" w:cs="Arial"/>
          <w:sz w:val="22"/>
          <w:szCs w:val="22"/>
        </w:rPr>
        <w:t xml:space="preserve"> have the right to control the use of property by enforcing “laws”.</w:t>
      </w:r>
      <w:r w:rsidRPr="00E90F29">
        <w:rPr>
          <w:rStyle w:val="FootnoteReference"/>
          <w:rFonts w:ascii="Arial" w:hAnsi="Arial" w:cs="Arial"/>
          <w:sz w:val="22"/>
          <w:szCs w:val="22"/>
        </w:rPr>
        <w:footnoteReference w:id="107"/>
      </w:r>
      <w:r w:rsidRPr="00E90F29">
        <w:rPr>
          <w:rFonts w:ascii="Arial" w:hAnsi="Arial" w:cs="Arial"/>
          <w:sz w:val="22"/>
          <w:szCs w:val="22"/>
        </w:rPr>
        <w:t xml:space="preserve"> </w:t>
      </w:r>
    </w:p>
    <w:p w14:paraId="23CF487C" w14:textId="77777777" w:rsidR="001003FB" w:rsidRPr="00E90F29" w:rsidRDefault="001003FB" w:rsidP="00E90F29">
      <w:pPr>
        <w:spacing w:line="360" w:lineRule="auto"/>
        <w:jc w:val="both"/>
        <w:rPr>
          <w:rFonts w:ascii="Arial" w:hAnsi="Arial" w:cs="Arial"/>
          <w:sz w:val="22"/>
          <w:szCs w:val="22"/>
        </w:rPr>
      </w:pPr>
    </w:p>
    <w:p w14:paraId="3823A457" w14:textId="4045A93D" w:rsidR="001003FB" w:rsidRPr="00E90F29" w:rsidRDefault="001003FB" w:rsidP="00E90F29">
      <w:pPr>
        <w:spacing w:line="360" w:lineRule="auto"/>
        <w:jc w:val="both"/>
        <w:rPr>
          <w:rFonts w:ascii="Arial" w:hAnsi="Arial" w:cs="Arial"/>
          <w:sz w:val="22"/>
          <w:szCs w:val="22"/>
        </w:rPr>
      </w:pPr>
      <w:r w:rsidRPr="00E90F29">
        <w:rPr>
          <w:rFonts w:ascii="Arial" w:hAnsi="Arial" w:cs="Arial"/>
          <w:sz w:val="22"/>
          <w:szCs w:val="22"/>
        </w:rPr>
        <w:t>Article 1 of Protocol No. 1 also requires that a deprivation of property for the purposes of its second sentence</w:t>
      </w:r>
      <w:r w:rsidR="00BD16E7" w:rsidRPr="00E90F29">
        <w:rPr>
          <w:rFonts w:ascii="Arial" w:hAnsi="Arial" w:cs="Arial"/>
          <w:sz w:val="22"/>
          <w:szCs w:val="22"/>
        </w:rPr>
        <w:t xml:space="preserve"> of that provision must</w:t>
      </w:r>
      <w:r w:rsidRPr="00E90F29">
        <w:rPr>
          <w:rFonts w:ascii="Arial" w:hAnsi="Arial" w:cs="Arial"/>
          <w:sz w:val="22"/>
          <w:szCs w:val="22"/>
        </w:rPr>
        <w:t xml:space="preserve"> be in the public interest and </w:t>
      </w:r>
      <w:r w:rsidR="00BD16E7" w:rsidRPr="00E90F29">
        <w:rPr>
          <w:rFonts w:ascii="Arial" w:hAnsi="Arial" w:cs="Arial"/>
          <w:sz w:val="22"/>
          <w:szCs w:val="22"/>
        </w:rPr>
        <w:t xml:space="preserve">must </w:t>
      </w:r>
      <w:r w:rsidRPr="00E90F29">
        <w:rPr>
          <w:rFonts w:ascii="Arial" w:hAnsi="Arial" w:cs="Arial"/>
          <w:sz w:val="22"/>
          <w:szCs w:val="22"/>
        </w:rPr>
        <w:t xml:space="preserve">pursue a legitimate aim by means reasonably proportionate to the aim sought to be </w:t>
      </w:r>
      <w:proofErr w:type="spellStart"/>
      <w:r w:rsidRPr="00E90F29">
        <w:rPr>
          <w:rFonts w:ascii="Arial" w:hAnsi="Arial" w:cs="Arial"/>
          <w:sz w:val="22"/>
          <w:szCs w:val="22"/>
        </w:rPr>
        <w:t>realised</w:t>
      </w:r>
      <w:proofErr w:type="spellEnd"/>
      <w:r w:rsidRPr="00E90F29">
        <w:rPr>
          <w:rFonts w:ascii="Arial" w:hAnsi="Arial" w:cs="Arial"/>
          <w:sz w:val="22"/>
          <w:szCs w:val="22"/>
        </w:rPr>
        <w:t>.</w:t>
      </w:r>
      <w:r w:rsidRPr="00E90F29">
        <w:rPr>
          <w:rStyle w:val="FootnoteReference"/>
          <w:rFonts w:ascii="Arial" w:hAnsi="Arial" w:cs="Arial"/>
          <w:sz w:val="22"/>
          <w:szCs w:val="22"/>
        </w:rPr>
        <w:footnoteReference w:id="108"/>
      </w:r>
      <w:r w:rsidR="00C72B31" w:rsidRPr="00E90F29">
        <w:rPr>
          <w:rFonts w:ascii="Arial" w:hAnsi="Arial" w:cs="Arial"/>
          <w:sz w:val="22"/>
          <w:szCs w:val="22"/>
        </w:rPr>
        <w:t xml:space="preserve"> The Panel considered </w:t>
      </w:r>
      <w:r w:rsidR="00BD16E7" w:rsidRPr="00E90F29">
        <w:rPr>
          <w:rFonts w:ascii="Arial" w:hAnsi="Arial" w:cs="Arial"/>
          <w:sz w:val="22"/>
          <w:szCs w:val="22"/>
        </w:rPr>
        <w:t>these requirements</w:t>
      </w:r>
      <w:r w:rsidR="00C72B31" w:rsidRPr="00E90F29">
        <w:rPr>
          <w:rFonts w:ascii="Arial" w:hAnsi="Arial" w:cs="Arial"/>
          <w:sz w:val="22"/>
          <w:szCs w:val="22"/>
        </w:rPr>
        <w:t xml:space="preserve"> in the </w:t>
      </w:r>
      <w:r w:rsidR="00C72B31" w:rsidRPr="00E90F29">
        <w:rPr>
          <w:rFonts w:ascii="Arial" w:hAnsi="Arial" w:cs="Arial"/>
          <w:i/>
          <w:sz w:val="22"/>
          <w:szCs w:val="22"/>
        </w:rPr>
        <w:t>Rudi</w:t>
      </w:r>
      <w:r w:rsidR="00C72B31" w:rsidRPr="00E90F29">
        <w:rPr>
          <w:rFonts w:ascii="Arial" w:hAnsi="Arial" w:cs="Arial"/>
          <w:sz w:val="22"/>
          <w:szCs w:val="22"/>
        </w:rPr>
        <w:t xml:space="preserve"> case, in which it said the following: </w:t>
      </w:r>
    </w:p>
    <w:p w14:paraId="5F571035" w14:textId="77777777" w:rsidR="00C72B31" w:rsidRPr="00E90F29" w:rsidRDefault="00C72B31" w:rsidP="00E90F29">
      <w:pPr>
        <w:spacing w:line="360" w:lineRule="auto"/>
        <w:jc w:val="both"/>
        <w:rPr>
          <w:rFonts w:ascii="Arial" w:hAnsi="Arial" w:cs="Arial"/>
          <w:sz w:val="22"/>
          <w:szCs w:val="22"/>
        </w:rPr>
      </w:pPr>
    </w:p>
    <w:p w14:paraId="668B4DD1" w14:textId="77777777" w:rsidR="00C72B31" w:rsidRPr="00E90F29" w:rsidRDefault="00C72B31" w:rsidP="00E90F29">
      <w:pPr>
        <w:spacing w:line="360" w:lineRule="auto"/>
        <w:ind w:left="567"/>
        <w:jc w:val="both"/>
        <w:rPr>
          <w:rFonts w:ascii="Arial" w:hAnsi="Arial" w:cs="Arial"/>
          <w:sz w:val="22"/>
          <w:szCs w:val="22"/>
        </w:rPr>
      </w:pPr>
      <w:r w:rsidRPr="00E90F29">
        <w:rPr>
          <w:rFonts w:ascii="Arial" w:hAnsi="Arial" w:cs="Arial"/>
          <w:sz w:val="22"/>
          <w:szCs w:val="22"/>
        </w:rPr>
        <w:t xml:space="preserve">“78. As to the lawfulness of the decision not to comply with the IOB’s decision of 10 August 2010, the Panel observes that the complainant was not given any written reasons for it. </w:t>
      </w:r>
    </w:p>
    <w:p w14:paraId="5793BC14" w14:textId="77777777" w:rsidR="00C72B31" w:rsidRPr="00E90F29" w:rsidRDefault="00C72B31" w:rsidP="00E90F29">
      <w:pPr>
        <w:spacing w:line="360" w:lineRule="auto"/>
        <w:ind w:left="567"/>
        <w:jc w:val="both"/>
        <w:rPr>
          <w:rFonts w:ascii="Arial" w:hAnsi="Arial" w:cs="Arial"/>
          <w:sz w:val="22"/>
          <w:szCs w:val="22"/>
        </w:rPr>
      </w:pPr>
      <w:r w:rsidRPr="00E90F29">
        <w:rPr>
          <w:rFonts w:ascii="Arial" w:hAnsi="Arial" w:cs="Arial"/>
          <w:sz w:val="22"/>
          <w:szCs w:val="22"/>
        </w:rPr>
        <w:t xml:space="preserve">79. It is further noted that in its submissions the HOM has not provided an explanation, referring to the concrete facts of the case, of why the complainant’s reinstatement in accordance with the IOB decision would hinder the interests of the service. Likewise, it has not been shown that the complainant has ever been informed of such factual grounds, either orally or in writing. </w:t>
      </w:r>
    </w:p>
    <w:p w14:paraId="66C16137" w14:textId="77777777" w:rsidR="00C72B31" w:rsidRPr="00E90F29" w:rsidRDefault="00C72B31" w:rsidP="00E90F29">
      <w:pPr>
        <w:spacing w:line="360" w:lineRule="auto"/>
        <w:ind w:left="567"/>
        <w:jc w:val="both"/>
        <w:rPr>
          <w:rFonts w:ascii="Arial" w:hAnsi="Arial" w:cs="Arial"/>
          <w:sz w:val="22"/>
          <w:szCs w:val="22"/>
        </w:rPr>
      </w:pPr>
      <w:r w:rsidRPr="00E90F29">
        <w:rPr>
          <w:rFonts w:ascii="Arial" w:hAnsi="Arial" w:cs="Arial"/>
          <w:sz w:val="22"/>
          <w:szCs w:val="22"/>
        </w:rPr>
        <w:t xml:space="preserve">80. In this context, it is further noted that no argument has been developed by the HOM to show that this refusal had legal basis and no concrete provision of law has been referred to. </w:t>
      </w:r>
    </w:p>
    <w:p w14:paraId="7D14F6DF" w14:textId="77777777" w:rsidR="00C72B31" w:rsidRPr="00E90F29" w:rsidRDefault="00C72B31" w:rsidP="00E90F29">
      <w:pPr>
        <w:spacing w:line="360" w:lineRule="auto"/>
        <w:ind w:left="567"/>
        <w:jc w:val="both"/>
        <w:rPr>
          <w:rFonts w:ascii="Arial" w:hAnsi="Arial" w:cs="Arial"/>
          <w:sz w:val="22"/>
          <w:szCs w:val="22"/>
        </w:rPr>
      </w:pPr>
      <w:r w:rsidRPr="00E90F29">
        <w:rPr>
          <w:rFonts w:ascii="Arial" w:hAnsi="Arial" w:cs="Arial"/>
          <w:sz w:val="22"/>
          <w:szCs w:val="22"/>
        </w:rPr>
        <w:t xml:space="preserve">81. Only such written grounds of that decision, clearly indicating the legal basis for it with reference to the concrete factual circumstances of the case would have rendered possible an objective post-hoc assessment of whether it decision complied with the requirement of lawfulness. </w:t>
      </w:r>
    </w:p>
    <w:p w14:paraId="7089839F" w14:textId="284FBE47" w:rsidR="00C72B31" w:rsidRPr="00E90F29" w:rsidRDefault="00C72B31" w:rsidP="00E90F29">
      <w:pPr>
        <w:spacing w:line="360" w:lineRule="auto"/>
        <w:ind w:left="567"/>
        <w:jc w:val="both"/>
        <w:rPr>
          <w:rFonts w:ascii="Arial" w:hAnsi="Arial" w:cs="Arial"/>
          <w:sz w:val="22"/>
          <w:szCs w:val="22"/>
        </w:rPr>
      </w:pPr>
      <w:r w:rsidRPr="00E90F29">
        <w:rPr>
          <w:rFonts w:ascii="Arial" w:hAnsi="Arial" w:cs="Arial"/>
          <w:sz w:val="22"/>
          <w:szCs w:val="22"/>
        </w:rPr>
        <w:t>82. Having regard to the absence of grounds for the contested decision and to the failure to indicate a legal provision that could be construed as the basis for it, the Panel finds that the impugned interference with the complainant’s right to the peaceful enjoyment of his possessions, in the form of a “legitimate expectation”, cannot be considered “lawful” within the meaning of Article 1 of Protocol No. 1.”</w:t>
      </w:r>
    </w:p>
    <w:p w14:paraId="621C84D4" w14:textId="77777777" w:rsidR="001003FB" w:rsidRPr="00E90F29" w:rsidRDefault="001003FB" w:rsidP="00E90F29">
      <w:pPr>
        <w:spacing w:line="360" w:lineRule="auto"/>
        <w:jc w:val="both"/>
        <w:rPr>
          <w:rFonts w:ascii="Arial" w:hAnsi="Arial" w:cs="Arial"/>
          <w:sz w:val="22"/>
          <w:szCs w:val="22"/>
        </w:rPr>
      </w:pPr>
    </w:p>
    <w:p w14:paraId="425F2FA4" w14:textId="4CB49EC5" w:rsidR="001003FB" w:rsidRPr="00E90F29" w:rsidRDefault="00361BEB" w:rsidP="00E90F29">
      <w:pPr>
        <w:spacing w:line="360" w:lineRule="auto"/>
        <w:jc w:val="both"/>
        <w:rPr>
          <w:rFonts w:ascii="Arial" w:hAnsi="Arial" w:cs="Arial"/>
          <w:sz w:val="22"/>
          <w:szCs w:val="22"/>
        </w:rPr>
      </w:pPr>
      <w:r w:rsidRPr="00E90F29">
        <w:rPr>
          <w:rFonts w:ascii="Arial" w:hAnsi="Arial" w:cs="Arial"/>
          <w:sz w:val="22"/>
          <w:szCs w:val="22"/>
        </w:rPr>
        <w:lastRenderedPageBreak/>
        <w:t xml:space="preserve">The Panel </w:t>
      </w:r>
      <w:r w:rsidR="00BD16E7" w:rsidRPr="00E90F29">
        <w:rPr>
          <w:rFonts w:ascii="Arial" w:hAnsi="Arial" w:cs="Arial"/>
          <w:sz w:val="22"/>
          <w:szCs w:val="22"/>
        </w:rPr>
        <w:t>also</w:t>
      </w:r>
      <w:r w:rsidRPr="00E90F29">
        <w:rPr>
          <w:rFonts w:ascii="Arial" w:hAnsi="Arial" w:cs="Arial"/>
          <w:sz w:val="22"/>
          <w:szCs w:val="22"/>
        </w:rPr>
        <w:t xml:space="preserve"> determined that </w:t>
      </w:r>
      <w:r w:rsidR="001003FB" w:rsidRPr="00E90F29">
        <w:rPr>
          <w:rFonts w:ascii="Arial" w:hAnsi="Arial" w:cs="Arial"/>
          <w:sz w:val="22"/>
          <w:szCs w:val="22"/>
        </w:rPr>
        <w:t>Article 1 of Protocol No. 1 requires that any interference</w:t>
      </w:r>
      <w:r w:rsidR="00BD16E7" w:rsidRPr="00E90F29">
        <w:rPr>
          <w:rFonts w:ascii="Arial" w:hAnsi="Arial" w:cs="Arial"/>
          <w:sz w:val="22"/>
          <w:szCs w:val="22"/>
        </w:rPr>
        <w:t xml:space="preserve"> with this fundamental right</w:t>
      </w:r>
      <w:r w:rsidR="001003FB" w:rsidRPr="00E90F29">
        <w:rPr>
          <w:rFonts w:ascii="Arial" w:hAnsi="Arial" w:cs="Arial"/>
          <w:sz w:val="22"/>
          <w:szCs w:val="22"/>
        </w:rPr>
        <w:t xml:space="preserve"> </w:t>
      </w:r>
      <w:r w:rsidR="00BD16E7" w:rsidRPr="00E90F29">
        <w:rPr>
          <w:rFonts w:ascii="Arial" w:hAnsi="Arial" w:cs="Arial"/>
          <w:sz w:val="22"/>
          <w:szCs w:val="22"/>
        </w:rPr>
        <w:t xml:space="preserve">must </w:t>
      </w:r>
      <w:r w:rsidR="001003FB" w:rsidRPr="00E90F29">
        <w:rPr>
          <w:rFonts w:ascii="Arial" w:hAnsi="Arial" w:cs="Arial"/>
          <w:sz w:val="22"/>
          <w:szCs w:val="22"/>
        </w:rPr>
        <w:t>be reasonably proportionate to the aim sought to be realized.</w:t>
      </w:r>
      <w:r w:rsidR="001003FB" w:rsidRPr="00E90F29">
        <w:rPr>
          <w:rStyle w:val="FootnoteReference"/>
          <w:rFonts w:ascii="Arial" w:hAnsi="Arial" w:cs="Arial"/>
          <w:sz w:val="22"/>
          <w:szCs w:val="22"/>
        </w:rPr>
        <w:t xml:space="preserve"> </w:t>
      </w:r>
      <w:r w:rsidR="001003FB" w:rsidRPr="00E90F29">
        <w:rPr>
          <w:rStyle w:val="FootnoteReference"/>
          <w:rFonts w:ascii="Arial" w:hAnsi="Arial" w:cs="Arial"/>
          <w:sz w:val="22"/>
          <w:szCs w:val="22"/>
        </w:rPr>
        <w:footnoteReference w:id="109"/>
      </w:r>
      <w:r w:rsidR="001003FB" w:rsidRPr="00E90F29">
        <w:rPr>
          <w:rFonts w:ascii="Arial" w:hAnsi="Arial" w:cs="Arial"/>
          <w:sz w:val="22"/>
          <w:szCs w:val="22"/>
        </w:rPr>
        <w:t xml:space="preserve"> Consequently, an interference must achieve a “fair balance” between the demands of the general interest of the community and the requirements of the protection of the individual’s fundamental rights. The requisite fair balance will not be struck where the person concerned bears an individual and excessive burden.</w:t>
      </w:r>
      <w:r w:rsidR="001003FB" w:rsidRPr="00E90F29">
        <w:rPr>
          <w:rStyle w:val="FootnoteReference"/>
          <w:rFonts w:ascii="Arial" w:hAnsi="Arial" w:cs="Arial"/>
          <w:sz w:val="22"/>
          <w:szCs w:val="22"/>
        </w:rPr>
        <w:footnoteReference w:id="110"/>
      </w:r>
      <w:r w:rsidR="001003FB" w:rsidRPr="00E90F29">
        <w:rPr>
          <w:rFonts w:ascii="Arial" w:hAnsi="Arial" w:cs="Arial"/>
          <w:sz w:val="22"/>
          <w:szCs w:val="22"/>
        </w:rPr>
        <w:t xml:space="preserve"> </w:t>
      </w:r>
    </w:p>
    <w:p w14:paraId="58B373C1" w14:textId="77777777" w:rsidR="001003FB" w:rsidRPr="00E90F29" w:rsidRDefault="001003FB" w:rsidP="00E90F29">
      <w:pPr>
        <w:spacing w:line="360" w:lineRule="auto"/>
        <w:jc w:val="both"/>
        <w:rPr>
          <w:rFonts w:ascii="Arial" w:hAnsi="Arial" w:cs="Arial"/>
          <w:sz w:val="22"/>
          <w:szCs w:val="22"/>
        </w:rPr>
      </w:pPr>
    </w:p>
    <w:p w14:paraId="776C9065" w14:textId="678FA4E0" w:rsidR="001003FB" w:rsidRPr="00E90F29" w:rsidRDefault="001003FB" w:rsidP="00E90F29">
      <w:pPr>
        <w:spacing w:line="360" w:lineRule="auto"/>
        <w:jc w:val="both"/>
        <w:rPr>
          <w:rFonts w:ascii="Arial" w:hAnsi="Arial" w:cs="Arial"/>
          <w:sz w:val="22"/>
          <w:szCs w:val="22"/>
        </w:rPr>
      </w:pPr>
      <w:r w:rsidRPr="00E90F29">
        <w:rPr>
          <w:rFonts w:ascii="Arial" w:hAnsi="Arial" w:cs="Arial"/>
          <w:sz w:val="22"/>
          <w:szCs w:val="22"/>
        </w:rPr>
        <w:t xml:space="preserve">Moreover, the </w:t>
      </w:r>
      <w:r w:rsidR="00361BEB" w:rsidRPr="00E90F29">
        <w:rPr>
          <w:rFonts w:ascii="Arial" w:hAnsi="Arial" w:cs="Arial"/>
          <w:sz w:val="22"/>
          <w:szCs w:val="22"/>
        </w:rPr>
        <w:t xml:space="preserve">Panel has made it clear </w:t>
      </w:r>
      <w:r w:rsidR="00BD16E7" w:rsidRPr="00E90F29">
        <w:rPr>
          <w:rFonts w:ascii="Arial" w:hAnsi="Arial" w:cs="Arial"/>
          <w:sz w:val="22"/>
          <w:szCs w:val="22"/>
        </w:rPr>
        <w:t xml:space="preserve">in relation to this right that the </w:t>
      </w:r>
      <w:r w:rsidRPr="00E90F29">
        <w:rPr>
          <w:rFonts w:ascii="Arial" w:hAnsi="Arial" w:cs="Arial"/>
          <w:sz w:val="22"/>
          <w:szCs w:val="22"/>
        </w:rPr>
        <w:t>principle of “good governance” requires that where an issue in the general interest is at stake</w:t>
      </w:r>
      <w:r w:rsidR="00BD16E7" w:rsidRPr="00E90F29">
        <w:rPr>
          <w:rFonts w:ascii="Arial" w:hAnsi="Arial" w:cs="Arial"/>
          <w:sz w:val="22"/>
          <w:szCs w:val="22"/>
        </w:rPr>
        <w:t>,</w:t>
      </w:r>
      <w:r w:rsidRPr="00E90F29">
        <w:rPr>
          <w:rFonts w:ascii="Arial" w:hAnsi="Arial" w:cs="Arial"/>
          <w:sz w:val="22"/>
          <w:szCs w:val="22"/>
        </w:rPr>
        <w:t xml:space="preserve"> it is incumbent on the public authorities to act in good time, in an appropriate manner and with utmost consistency.</w:t>
      </w:r>
      <w:r w:rsidRPr="00E90F29">
        <w:rPr>
          <w:rStyle w:val="FootnoteReference"/>
          <w:rFonts w:ascii="Arial" w:hAnsi="Arial" w:cs="Arial"/>
          <w:sz w:val="22"/>
          <w:szCs w:val="22"/>
        </w:rPr>
        <w:footnoteReference w:id="111"/>
      </w:r>
      <w:r w:rsidRPr="00E90F29">
        <w:rPr>
          <w:rFonts w:ascii="Arial" w:hAnsi="Arial" w:cs="Arial"/>
          <w:sz w:val="22"/>
          <w:szCs w:val="22"/>
        </w:rPr>
        <w:t xml:space="preserve"> </w:t>
      </w:r>
    </w:p>
    <w:p w14:paraId="1AEC785E" w14:textId="77777777" w:rsidR="001003FB" w:rsidRPr="00E90F29" w:rsidRDefault="001003FB" w:rsidP="00E90F29">
      <w:pPr>
        <w:spacing w:line="360" w:lineRule="auto"/>
        <w:jc w:val="both"/>
        <w:rPr>
          <w:rFonts w:ascii="Arial" w:hAnsi="Arial" w:cs="Arial"/>
          <w:sz w:val="22"/>
          <w:szCs w:val="22"/>
        </w:rPr>
      </w:pPr>
    </w:p>
    <w:p w14:paraId="417B12C5" w14:textId="644D3641" w:rsidR="00830A6F" w:rsidRPr="00E90F29" w:rsidRDefault="00BD16E7" w:rsidP="00E90F29">
      <w:pPr>
        <w:spacing w:line="360" w:lineRule="auto"/>
        <w:jc w:val="both"/>
        <w:rPr>
          <w:rFonts w:ascii="Arial" w:hAnsi="Arial" w:cs="Arial"/>
          <w:sz w:val="22"/>
          <w:szCs w:val="22"/>
          <w:lang w:val="en-GB"/>
        </w:rPr>
      </w:pPr>
      <w:r w:rsidRPr="00E90F29">
        <w:rPr>
          <w:rFonts w:ascii="Arial" w:hAnsi="Arial" w:cs="Arial"/>
          <w:sz w:val="22"/>
          <w:szCs w:val="22"/>
          <w:lang w:val="en-GB"/>
        </w:rPr>
        <w:t>Applying th</w:t>
      </w:r>
      <w:r w:rsidR="00830A6F" w:rsidRPr="00E90F29">
        <w:rPr>
          <w:rFonts w:ascii="Arial" w:hAnsi="Arial" w:cs="Arial"/>
          <w:sz w:val="22"/>
          <w:szCs w:val="22"/>
          <w:lang w:val="en-GB"/>
        </w:rPr>
        <w:t>e principles</w:t>
      </w:r>
      <w:r w:rsidRPr="00E90F29">
        <w:rPr>
          <w:rFonts w:ascii="Arial" w:hAnsi="Arial" w:cs="Arial"/>
          <w:sz w:val="22"/>
          <w:szCs w:val="22"/>
          <w:lang w:val="en-GB"/>
        </w:rPr>
        <w:t xml:space="preserve"> outlined above, the Panel said the following in the </w:t>
      </w:r>
      <w:r w:rsidRPr="00E90F29">
        <w:rPr>
          <w:rFonts w:ascii="Arial" w:hAnsi="Arial" w:cs="Arial"/>
          <w:i/>
          <w:sz w:val="22"/>
          <w:szCs w:val="22"/>
          <w:lang w:val="en-GB"/>
        </w:rPr>
        <w:t>Rudi</w:t>
      </w:r>
      <w:r w:rsidRPr="00E90F29">
        <w:rPr>
          <w:rFonts w:ascii="Arial" w:hAnsi="Arial" w:cs="Arial"/>
          <w:sz w:val="22"/>
          <w:szCs w:val="22"/>
          <w:lang w:val="en-GB"/>
        </w:rPr>
        <w:t xml:space="preserve"> case:</w:t>
      </w:r>
    </w:p>
    <w:p w14:paraId="7F7FC119" w14:textId="77777777" w:rsidR="00830A6F" w:rsidRPr="00E90F29" w:rsidRDefault="00830A6F" w:rsidP="00E90F29">
      <w:pPr>
        <w:spacing w:line="360" w:lineRule="auto"/>
        <w:ind w:left="567"/>
        <w:jc w:val="both"/>
        <w:rPr>
          <w:rFonts w:ascii="Arial" w:hAnsi="Arial" w:cs="Arial"/>
          <w:sz w:val="22"/>
          <w:szCs w:val="22"/>
        </w:rPr>
      </w:pPr>
      <w:r w:rsidRPr="00E90F29">
        <w:rPr>
          <w:rFonts w:ascii="Arial" w:hAnsi="Arial" w:cs="Arial"/>
          <w:sz w:val="22"/>
          <w:szCs w:val="22"/>
          <w:lang w:val="en-GB"/>
        </w:rPr>
        <w:t>“</w:t>
      </w:r>
      <w:r w:rsidRPr="00E90F29">
        <w:rPr>
          <w:rFonts w:ascii="Arial" w:hAnsi="Arial" w:cs="Arial"/>
          <w:sz w:val="22"/>
          <w:szCs w:val="22"/>
        </w:rPr>
        <w:t xml:space="preserve">75. In this connection, the Panel notes that the Director of the FIC, acting upon advice emanating from EULEX, prevented the complainant from resuming his work after the final decision by the IOB had ordered that he be reinstated in his post. By the same token, it was decided not to comply with the IOB’s decision in so far as it ordered that the applicant’s salary due for the period from 28 February 2010 onwards should be paid to him. </w:t>
      </w:r>
    </w:p>
    <w:p w14:paraId="4A3F7531" w14:textId="32C00F81" w:rsidR="00830A6F" w:rsidRPr="00E90F29" w:rsidRDefault="00830A6F" w:rsidP="00E90F29">
      <w:pPr>
        <w:spacing w:line="360" w:lineRule="auto"/>
        <w:ind w:left="567"/>
        <w:jc w:val="both"/>
        <w:rPr>
          <w:rFonts w:ascii="Arial" w:hAnsi="Arial" w:cs="Arial"/>
          <w:sz w:val="22"/>
          <w:szCs w:val="22"/>
        </w:rPr>
      </w:pPr>
      <w:r w:rsidRPr="00E90F29">
        <w:rPr>
          <w:rFonts w:ascii="Arial" w:hAnsi="Arial" w:cs="Arial"/>
          <w:sz w:val="22"/>
          <w:szCs w:val="22"/>
        </w:rPr>
        <w:t>76. The Panel is of the view that the refusal to comply with the IOB decision amounted to an interference with the complainant’s right to the peaceful enjoyment of his possessions.”</w:t>
      </w:r>
      <w:r w:rsidRPr="00E90F29">
        <w:rPr>
          <w:rStyle w:val="FootnoteReference"/>
          <w:rFonts w:ascii="Arial" w:hAnsi="Arial" w:cs="Arial"/>
          <w:sz w:val="22"/>
          <w:szCs w:val="22"/>
        </w:rPr>
        <w:footnoteReference w:id="112"/>
      </w:r>
    </w:p>
    <w:p w14:paraId="74D15A01" w14:textId="33481B9C" w:rsidR="00830A6F" w:rsidRPr="00E90F29" w:rsidRDefault="00830A6F" w:rsidP="00E90F29">
      <w:pPr>
        <w:spacing w:line="360" w:lineRule="auto"/>
        <w:jc w:val="both"/>
        <w:rPr>
          <w:rFonts w:ascii="Arial" w:hAnsi="Arial" w:cs="Arial"/>
          <w:sz w:val="22"/>
          <w:szCs w:val="22"/>
          <w:lang w:val="en-GB"/>
        </w:rPr>
      </w:pPr>
    </w:p>
    <w:p w14:paraId="0F8A3541" w14:textId="443A712A" w:rsidR="008D1785" w:rsidRPr="00E90F29" w:rsidRDefault="00EE5932" w:rsidP="00E90F29">
      <w:pPr>
        <w:pStyle w:val="Heading3"/>
      </w:pPr>
      <w:bookmarkStart w:id="48" w:name="_Toc513713990"/>
      <w:r w:rsidRPr="00E90F29">
        <w:t>3.</w:t>
      </w:r>
      <w:r w:rsidR="00F71527" w:rsidRPr="00E90F29">
        <w:t>9</w:t>
      </w:r>
      <w:r w:rsidRPr="00E90F29">
        <w:t xml:space="preserve">.4 </w:t>
      </w:r>
      <w:r w:rsidR="008D1785" w:rsidRPr="00E90F29">
        <w:t>Overall assessment of conduct of authorities</w:t>
      </w:r>
      <w:bookmarkEnd w:id="48"/>
      <w:r w:rsidR="008D1785" w:rsidRPr="00E90F29">
        <w:t xml:space="preserve"> </w:t>
      </w:r>
    </w:p>
    <w:p w14:paraId="10BF003D" w14:textId="63064A4B" w:rsidR="008F2CF3" w:rsidRPr="00E90F29" w:rsidRDefault="000D46E6" w:rsidP="00E90F29">
      <w:pPr>
        <w:spacing w:line="360" w:lineRule="auto"/>
        <w:jc w:val="both"/>
        <w:rPr>
          <w:rFonts w:ascii="Arial" w:hAnsi="Arial" w:cs="Arial"/>
          <w:sz w:val="22"/>
          <w:szCs w:val="22"/>
        </w:rPr>
      </w:pPr>
      <w:r w:rsidRPr="00E90F29">
        <w:rPr>
          <w:rFonts w:ascii="Arial" w:hAnsi="Arial" w:cs="Arial"/>
          <w:sz w:val="22"/>
          <w:szCs w:val="22"/>
        </w:rPr>
        <w:t>I</w:t>
      </w:r>
      <w:r w:rsidR="008F2CF3" w:rsidRPr="00E90F29">
        <w:rPr>
          <w:rFonts w:ascii="Arial" w:hAnsi="Arial" w:cs="Arial"/>
          <w:sz w:val="22"/>
          <w:szCs w:val="22"/>
        </w:rPr>
        <w:t xml:space="preserve">n assessing compliance with Article 1 of Protocol No. 1, the Court </w:t>
      </w:r>
      <w:r w:rsidRPr="00E90F29">
        <w:rPr>
          <w:rFonts w:ascii="Arial" w:hAnsi="Arial" w:cs="Arial"/>
          <w:sz w:val="22"/>
          <w:szCs w:val="22"/>
        </w:rPr>
        <w:t>must conduct</w:t>
      </w:r>
      <w:r w:rsidR="008F2CF3" w:rsidRPr="00E90F29">
        <w:rPr>
          <w:rFonts w:ascii="Arial" w:hAnsi="Arial" w:cs="Arial"/>
          <w:sz w:val="22"/>
          <w:szCs w:val="22"/>
        </w:rPr>
        <w:t xml:space="preserve"> an overall </w:t>
      </w:r>
      <w:r w:rsidRPr="00E90F29">
        <w:rPr>
          <w:rFonts w:ascii="Arial" w:hAnsi="Arial" w:cs="Arial"/>
          <w:sz w:val="22"/>
          <w:szCs w:val="22"/>
        </w:rPr>
        <w:t>assessment</w:t>
      </w:r>
      <w:r w:rsidR="008F2CF3" w:rsidRPr="00E90F29">
        <w:rPr>
          <w:rFonts w:ascii="Arial" w:hAnsi="Arial" w:cs="Arial"/>
          <w:sz w:val="22"/>
          <w:szCs w:val="22"/>
        </w:rPr>
        <w:t xml:space="preserve"> of the various interests in issue, bearing in mind that the Convention is intended to safeguard rights that are “practical and effective”. In that context, it has been stressed </w:t>
      </w:r>
      <w:r w:rsidR="004F1998" w:rsidRPr="00E90F29">
        <w:rPr>
          <w:rFonts w:ascii="Arial" w:hAnsi="Arial" w:cs="Arial"/>
          <w:sz w:val="22"/>
          <w:szCs w:val="22"/>
        </w:rPr>
        <w:t xml:space="preserve">by the Panel </w:t>
      </w:r>
      <w:r w:rsidR="008F2CF3" w:rsidRPr="00E90F29">
        <w:rPr>
          <w:rFonts w:ascii="Arial" w:hAnsi="Arial" w:cs="Arial"/>
          <w:sz w:val="22"/>
          <w:szCs w:val="22"/>
        </w:rPr>
        <w:t>that uncertainty – be it legislative, administrative or arising from practices applied by the authorities – is a factor to be taken into account in assessing the conduct of official authorities.</w:t>
      </w:r>
      <w:r w:rsidR="008F2CF3" w:rsidRPr="00E90F29">
        <w:rPr>
          <w:rStyle w:val="FootnoteReference"/>
          <w:rFonts w:ascii="Arial" w:hAnsi="Arial" w:cs="Arial"/>
          <w:sz w:val="22"/>
          <w:szCs w:val="22"/>
        </w:rPr>
        <w:footnoteReference w:id="113"/>
      </w:r>
      <w:r w:rsidR="008F2CF3" w:rsidRPr="00E90F29">
        <w:rPr>
          <w:rFonts w:ascii="Arial" w:hAnsi="Arial" w:cs="Arial"/>
          <w:sz w:val="22"/>
          <w:szCs w:val="22"/>
        </w:rPr>
        <w:t xml:space="preserve"> Indeed, where an </w:t>
      </w:r>
      <w:r w:rsidR="008F2CF3" w:rsidRPr="00E90F29">
        <w:rPr>
          <w:rFonts w:ascii="Arial" w:hAnsi="Arial" w:cs="Arial"/>
          <w:sz w:val="22"/>
          <w:szCs w:val="22"/>
        </w:rPr>
        <w:lastRenderedPageBreak/>
        <w:t>issue in the general interest is at stake, it is incumbent on the public authorities to act in good time, in an appropriate and consistent manner.</w:t>
      </w:r>
      <w:r w:rsidR="008F2CF3" w:rsidRPr="00E90F29">
        <w:rPr>
          <w:rStyle w:val="FootnoteReference"/>
          <w:rFonts w:ascii="Arial" w:hAnsi="Arial" w:cs="Arial"/>
          <w:sz w:val="22"/>
          <w:szCs w:val="22"/>
        </w:rPr>
        <w:t xml:space="preserve"> </w:t>
      </w:r>
      <w:r w:rsidR="008F2CF3" w:rsidRPr="00E90F29">
        <w:rPr>
          <w:rStyle w:val="FootnoteReference"/>
          <w:rFonts w:ascii="Arial" w:hAnsi="Arial" w:cs="Arial"/>
          <w:sz w:val="22"/>
          <w:szCs w:val="22"/>
        </w:rPr>
        <w:footnoteReference w:id="114"/>
      </w:r>
      <w:r w:rsidR="008F2CF3" w:rsidRPr="00E90F29">
        <w:rPr>
          <w:rFonts w:ascii="Arial" w:hAnsi="Arial" w:cs="Arial"/>
          <w:sz w:val="22"/>
          <w:szCs w:val="22"/>
        </w:rPr>
        <w:t xml:space="preserve">  </w:t>
      </w:r>
    </w:p>
    <w:p w14:paraId="5BCA824A" w14:textId="77777777" w:rsidR="008D1785" w:rsidRPr="00E90F29" w:rsidRDefault="008D1785" w:rsidP="00E90F29">
      <w:pPr>
        <w:spacing w:line="360" w:lineRule="auto"/>
        <w:jc w:val="both"/>
        <w:rPr>
          <w:rFonts w:ascii="Arial" w:hAnsi="Arial" w:cs="Arial"/>
          <w:sz w:val="22"/>
          <w:szCs w:val="22"/>
          <w:lang w:val="en-GB"/>
        </w:rPr>
      </w:pPr>
    </w:p>
    <w:p w14:paraId="4DA26831" w14:textId="64EBD64C" w:rsidR="00EE5932" w:rsidRPr="00E90F29" w:rsidRDefault="00EA205E" w:rsidP="00E90F29">
      <w:pPr>
        <w:pStyle w:val="Heading3"/>
      </w:pPr>
      <w:bookmarkStart w:id="49" w:name="_Toc513713991"/>
      <w:r w:rsidRPr="00E90F29">
        <w:t>3.</w:t>
      </w:r>
      <w:r w:rsidR="00F71527" w:rsidRPr="00E90F29">
        <w:t>9</w:t>
      </w:r>
      <w:r w:rsidRPr="00E90F29">
        <w:t xml:space="preserve">.5 </w:t>
      </w:r>
      <w:r w:rsidR="00EE5932" w:rsidRPr="00E90F29">
        <w:t>Impermissible interference does not require loss of control over property</w:t>
      </w:r>
      <w:bookmarkEnd w:id="49"/>
      <w:r w:rsidR="00EE5932" w:rsidRPr="00E90F29">
        <w:t xml:space="preserve"> </w:t>
      </w:r>
    </w:p>
    <w:p w14:paraId="3D9CD6C2" w14:textId="12244B8E" w:rsidR="00EA205E" w:rsidRPr="00E90F29" w:rsidRDefault="00EE5932" w:rsidP="00E90F29">
      <w:pPr>
        <w:spacing w:line="360" w:lineRule="auto"/>
        <w:jc w:val="both"/>
        <w:rPr>
          <w:rFonts w:ascii="Arial" w:hAnsi="Arial" w:cs="Arial"/>
          <w:sz w:val="22"/>
          <w:szCs w:val="22"/>
        </w:rPr>
      </w:pPr>
      <w:r w:rsidRPr="00E90F29">
        <w:rPr>
          <w:rFonts w:ascii="Arial" w:hAnsi="Arial" w:cs="Arial"/>
          <w:sz w:val="22"/>
          <w:szCs w:val="22"/>
        </w:rPr>
        <w:t xml:space="preserve">In </w:t>
      </w:r>
      <w:proofErr w:type="spellStart"/>
      <w:r w:rsidRPr="00E90F29">
        <w:rPr>
          <w:rFonts w:ascii="Arial" w:hAnsi="Arial" w:cs="Arial"/>
          <w:i/>
          <w:sz w:val="22"/>
          <w:szCs w:val="22"/>
        </w:rPr>
        <w:t>Djeljalj</w:t>
      </w:r>
      <w:proofErr w:type="spellEnd"/>
      <w:r w:rsidRPr="00E90F29">
        <w:rPr>
          <w:rFonts w:ascii="Arial" w:hAnsi="Arial" w:cs="Arial"/>
          <w:i/>
          <w:sz w:val="22"/>
          <w:szCs w:val="22"/>
        </w:rPr>
        <w:t xml:space="preserve">, </w:t>
      </w:r>
      <w:r w:rsidRPr="00E90F29">
        <w:rPr>
          <w:rFonts w:ascii="Arial" w:hAnsi="Arial" w:cs="Arial"/>
          <w:sz w:val="22"/>
          <w:szCs w:val="22"/>
        </w:rPr>
        <w:t xml:space="preserve">an impermissible interference with the right to property does not require a loss </w:t>
      </w:r>
      <w:r w:rsidR="00CD642F" w:rsidRPr="00E90F29">
        <w:rPr>
          <w:rFonts w:ascii="Arial" w:hAnsi="Arial" w:cs="Arial"/>
          <w:sz w:val="22"/>
          <w:szCs w:val="22"/>
        </w:rPr>
        <w:t xml:space="preserve">of </w:t>
      </w:r>
      <w:r w:rsidRPr="00E90F29">
        <w:rPr>
          <w:rFonts w:ascii="Arial" w:hAnsi="Arial" w:cs="Arial"/>
          <w:sz w:val="22"/>
          <w:szCs w:val="22"/>
        </w:rPr>
        <w:t>physical control of the property. In that case, the Panel said that the complainant’s right to control the impugned property and to peacefully enjoy it was</w:t>
      </w:r>
      <w:r w:rsidR="00CD642F" w:rsidRPr="00E90F29">
        <w:rPr>
          <w:rFonts w:ascii="Arial" w:hAnsi="Arial" w:cs="Arial"/>
          <w:sz w:val="22"/>
          <w:szCs w:val="22"/>
        </w:rPr>
        <w:t xml:space="preserve"> </w:t>
      </w:r>
      <w:r w:rsidRPr="00E90F29">
        <w:rPr>
          <w:rFonts w:ascii="Arial" w:hAnsi="Arial" w:cs="Arial"/>
          <w:sz w:val="22"/>
          <w:szCs w:val="22"/>
        </w:rPr>
        <w:t>interfered with as a result of the following set of facts: Firstly, the property was used, unbeknownst to the complainant, as collateral to a bank loan taken out by third party. Secondly, as that party defaulted on the loan, the bank started execution proceedings. Thirdly, the judicial decision lifting the collateral status remains unexecuted as the property remains listed as collateral. Fourthly, the complainant’s efforts to have this status properly registered were unsuccessful.</w:t>
      </w:r>
      <w:r w:rsidRPr="00E90F29">
        <w:rPr>
          <w:rStyle w:val="FootnoteReference"/>
          <w:rFonts w:ascii="Arial" w:hAnsi="Arial" w:cs="Arial"/>
          <w:sz w:val="22"/>
          <w:szCs w:val="22"/>
        </w:rPr>
        <w:footnoteReference w:id="115"/>
      </w:r>
      <w:r w:rsidR="00EA205E" w:rsidRPr="00E90F29">
        <w:rPr>
          <w:rFonts w:ascii="Arial" w:hAnsi="Arial" w:cs="Arial"/>
          <w:sz w:val="22"/>
          <w:szCs w:val="22"/>
        </w:rPr>
        <w:t xml:space="preserve"> The Panel added that this state of legal uncertai</w:t>
      </w:r>
      <w:r w:rsidR="00CD642F" w:rsidRPr="00E90F29">
        <w:rPr>
          <w:rFonts w:ascii="Arial" w:hAnsi="Arial" w:cs="Arial"/>
          <w:sz w:val="22"/>
          <w:szCs w:val="22"/>
        </w:rPr>
        <w:t>nty had</w:t>
      </w:r>
      <w:r w:rsidR="00EA205E" w:rsidRPr="00E90F29">
        <w:rPr>
          <w:rFonts w:ascii="Arial" w:hAnsi="Arial" w:cs="Arial"/>
          <w:sz w:val="22"/>
          <w:szCs w:val="22"/>
        </w:rPr>
        <w:t xml:space="preserve"> rendered the complainant’s rights precarious and thus found that there had been an interference with his right to the peaceful enjoyment of his possessions.</w:t>
      </w:r>
      <w:r w:rsidR="00EA205E" w:rsidRPr="00E90F29">
        <w:rPr>
          <w:rStyle w:val="FootnoteReference"/>
          <w:rFonts w:ascii="Arial" w:hAnsi="Arial" w:cs="Arial"/>
          <w:sz w:val="22"/>
          <w:szCs w:val="22"/>
        </w:rPr>
        <w:footnoteReference w:id="116"/>
      </w:r>
    </w:p>
    <w:p w14:paraId="19ECB0AC" w14:textId="77777777" w:rsidR="00EE5932" w:rsidRPr="00E90F29" w:rsidRDefault="00EE5932" w:rsidP="00E90F29">
      <w:pPr>
        <w:spacing w:line="360" w:lineRule="auto"/>
        <w:jc w:val="both"/>
        <w:rPr>
          <w:rFonts w:ascii="Arial" w:hAnsi="Arial" w:cs="Arial"/>
          <w:sz w:val="22"/>
          <w:szCs w:val="22"/>
        </w:rPr>
      </w:pPr>
    </w:p>
    <w:p w14:paraId="31340059" w14:textId="7E1EC4D2" w:rsidR="00F67F3A" w:rsidRPr="00E90F29" w:rsidRDefault="00EE5932" w:rsidP="00E90F29">
      <w:pPr>
        <w:pStyle w:val="Heading3"/>
      </w:pPr>
      <w:bookmarkStart w:id="50" w:name="_Toc513713992"/>
      <w:r w:rsidRPr="00E90F29">
        <w:t>3.</w:t>
      </w:r>
      <w:r w:rsidR="00F71527" w:rsidRPr="00E90F29">
        <w:t>9</w:t>
      </w:r>
      <w:r w:rsidRPr="00E90F29">
        <w:t xml:space="preserve">.6 </w:t>
      </w:r>
      <w:r w:rsidR="001003FB" w:rsidRPr="00E90F29">
        <w:t xml:space="preserve">Refusal to obey court order can constitute interference with </w:t>
      </w:r>
      <w:r w:rsidR="00F160D4" w:rsidRPr="00E90F29">
        <w:t xml:space="preserve">the </w:t>
      </w:r>
      <w:r w:rsidR="001003FB" w:rsidRPr="00E90F29">
        <w:t xml:space="preserve">right </w:t>
      </w:r>
      <w:r w:rsidR="00F160D4" w:rsidRPr="00E90F29">
        <w:t>to property</w:t>
      </w:r>
      <w:bookmarkEnd w:id="50"/>
      <w:r w:rsidR="00F160D4" w:rsidRPr="00E90F29">
        <w:t xml:space="preserve"> </w:t>
      </w:r>
    </w:p>
    <w:p w14:paraId="63A8FC8D" w14:textId="2CE7E810" w:rsidR="00EE5932" w:rsidRPr="00E90F29" w:rsidRDefault="00F67F3A" w:rsidP="00E90F29">
      <w:pPr>
        <w:spacing w:line="360" w:lineRule="auto"/>
        <w:jc w:val="both"/>
        <w:rPr>
          <w:rFonts w:ascii="Arial" w:hAnsi="Arial" w:cs="Arial"/>
          <w:sz w:val="22"/>
          <w:szCs w:val="22"/>
          <w:lang w:val="en-GB"/>
        </w:rPr>
      </w:pPr>
      <w:r w:rsidRPr="00E90F29">
        <w:rPr>
          <w:rFonts w:ascii="Arial" w:hAnsi="Arial" w:cs="Arial"/>
          <w:sz w:val="22"/>
          <w:szCs w:val="22"/>
          <w:lang w:val="en-GB"/>
        </w:rPr>
        <w:t>A refusal to obey a court order affecting the enjoyment of property could also constitute an interference with the right to property.</w:t>
      </w:r>
      <w:r w:rsidRPr="00E90F29">
        <w:rPr>
          <w:rStyle w:val="FootnoteReference"/>
          <w:rFonts w:ascii="Arial" w:hAnsi="Arial" w:cs="Arial"/>
          <w:sz w:val="22"/>
          <w:szCs w:val="22"/>
          <w:lang w:val="en-GB"/>
        </w:rPr>
        <w:footnoteReference w:id="117"/>
      </w:r>
      <w:r w:rsidRPr="00E90F29">
        <w:rPr>
          <w:rFonts w:ascii="Arial" w:hAnsi="Arial" w:cs="Arial"/>
          <w:sz w:val="22"/>
          <w:szCs w:val="22"/>
          <w:lang w:val="en-GB"/>
        </w:rPr>
        <w:t xml:space="preserve"> </w:t>
      </w:r>
      <w:r w:rsidR="00EE5932" w:rsidRPr="00E90F29">
        <w:rPr>
          <w:rFonts w:ascii="Arial" w:hAnsi="Arial" w:cs="Arial"/>
          <w:sz w:val="22"/>
          <w:szCs w:val="22"/>
          <w:lang w:val="en-GB"/>
        </w:rPr>
        <w:t xml:space="preserve">Similarly, the Panel has said that </w:t>
      </w:r>
      <w:r w:rsidR="00EE5932" w:rsidRPr="00E90F29">
        <w:rPr>
          <w:rFonts w:ascii="Arial" w:hAnsi="Arial" w:cs="Arial"/>
          <w:sz w:val="22"/>
          <w:szCs w:val="22"/>
        </w:rPr>
        <w:t>the delay in the registration of a legal situation concerning land property established by domestic courts has been considered as an interference with the right to peaceful enjoyment of possessions if it causes a state of uncertainty as to the realization of property rights.</w:t>
      </w:r>
      <w:r w:rsidR="00EE5932" w:rsidRPr="00E90F29">
        <w:rPr>
          <w:rStyle w:val="FootnoteReference"/>
          <w:rFonts w:ascii="Arial" w:hAnsi="Arial" w:cs="Arial"/>
          <w:sz w:val="22"/>
          <w:szCs w:val="22"/>
        </w:rPr>
        <w:footnoteReference w:id="118"/>
      </w:r>
      <w:r w:rsidR="00EE5932" w:rsidRPr="00E90F29">
        <w:rPr>
          <w:rFonts w:ascii="Arial" w:hAnsi="Arial" w:cs="Arial"/>
          <w:sz w:val="22"/>
          <w:szCs w:val="22"/>
        </w:rPr>
        <w:t xml:space="preserve"> </w:t>
      </w:r>
    </w:p>
    <w:p w14:paraId="0BCB6D2A" w14:textId="77777777" w:rsidR="00A476D8" w:rsidRDefault="00A476D8" w:rsidP="00E90F29">
      <w:pPr>
        <w:spacing w:line="360" w:lineRule="auto"/>
        <w:jc w:val="both"/>
        <w:rPr>
          <w:rFonts w:ascii="Arial" w:hAnsi="Arial" w:cs="Arial"/>
          <w:sz w:val="22"/>
          <w:szCs w:val="22"/>
          <w:lang w:val="en-GB"/>
        </w:rPr>
      </w:pPr>
    </w:p>
    <w:p w14:paraId="3990461D" w14:textId="77777777" w:rsidR="00E90F29" w:rsidRPr="00E90F29" w:rsidRDefault="00E90F29" w:rsidP="00E90F29">
      <w:pPr>
        <w:spacing w:line="360" w:lineRule="auto"/>
        <w:jc w:val="both"/>
        <w:rPr>
          <w:rFonts w:ascii="Arial" w:hAnsi="Arial" w:cs="Arial"/>
          <w:sz w:val="22"/>
          <w:szCs w:val="22"/>
          <w:lang w:val="en-GB"/>
        </w:rPr>
      </w:pPr>
    </w:p>
    <w:p w14:paraId="13CE277A" w14:textId="3B00AF71" w:rsidR="002234EB" w:rsidRPr="00E90F29" w:rsidRDefault="00F71527" w:rsidP="00E90F29">
      <w:pPr>
        <w:pStyle w:val="Heading2"/>
      </w:pPr>
      <w:bookmarkStart w:id="51" w:name="_Toc513713993"/>
      <w:r w:rsidRPr="00E90F29">
        <w:lastRenderedPageBreak/>
        <w:t xml:space="preserve">3.10 </w:t>
      </w:r>
      <w:r w:rsidR="002234EB" w:rsidRPr="00E90F29">
        <w:t>Non</w:t>
      </w:r>
      <w:r w:rsidR="008732C4" w:rsidRPr="00E90F29">
        <w:t>-</w:t>
      </w:r>
      <w:r w:rsidR="002234EB" w:rsidRPr="00E90F29">
        <w:t>exhaustive list of protected rights</w:t>
      </w:r>
      <w:bookmarkEnd w:id="51"/>
      <w:r w:rsidR="002234EB" w:rsidRPr="00E90F29">
        <w:t xml:space="preserve"> </w:t>
      </w:r>
    </w:p>
    <w:p w14:paraId="5A626CD7" w14:textId="3F2CB75F" w:rsidR="00A73FDA" w:rsidRPr="00E90F29" w:rsidRDefault="00F67F3A" w:rsidP="00E90F29">
      <w:pPr>
        <w:spacing w:line="360" w:lineRule="auto"/>
        <w:jc w:val="both"/>
        <w:rPr>
          <w:rFonts w:ascii="Arial" w:hAnsi="Arial" w:cs="Arial"/>
          <w:sz w:val="22"/>
          <w:szCs w:val="22"/>
          <w:lang w:val="en-GB"/>
        </w:rPr>
      </w:pPr>
      <w:r w:rsidRPr="00E90F29">
        <w:rPr>
          <w:rFonts w:ascii="Arial" w:hAnsi="Arial" w:cs="Arial"/>
          <w:sz w:val="22"/>
          <w:szCs w:val="22"/>
          <w:lang w:val="en-GB"/>
        </w:rPr>
        <w:t xml:space="preserve">The Panel has not drawn up any exhaustive or definite list of the rights relevant to its jurisdiction. As a matter of principle, the Panel could </w:t>
      </w:r>
      <w:r w:rsidR="00F160D4" w:rsidRPr="00E90F29">
        <w:rPr>
          <w:rFonts w:ascii="Arial" w:hAnsi="Arial" w:cs="Arial"/>
          <w:sz w:val="22"/>
          <w:szCs w:val="22"/>
          <w:lang w:val="en-GB"/>
        </w:rPr>
        <w:t xml:space="preserve">in principle </w:t>
      </w:r>
      <w:r w:rsidRPr="00E90F29">
        <w:rPr>
          <w:rFonts w:ascii="Arial" w:hAnsi="Arial" w:cs="Arial"/>
          <w:sz w:val="22"/>
          <w:szCs w:val="22"/>
          <w:lang w:val="en-GB"/>
        </w:rPr>
        <w:t xml:space="preserve">be competent to deal with allegations of violations of any right arising from one of the instruments relevant to its competence, </w:t>
      </w:r>
      <w:proofErr w:type="spellStart"/>
      <w:r w:rsidRPr="00E90F29">
        <w:rPr>
          <w:rFonts w:ascii="Arial" w:hAnsi="Arial" w:cs="Arial"/>
          <w:i/>
          <w:sz w:val="22"/>
          <w:szCs w:val="22"/>
          <w:lang w:val="en-GB"/>
        </w:rPr>
        <w:t>ratione</w:t>
      </w:r>
      <w:proofErr w:type="spellEnd"/>
      <w:r w:rsidRPr="00E90F29">
        <w:rPr>
          <w:rFonts w:ascii="Arial" w:hAnsi="Arial" w:cs="Arial"/>
          <w:i/>
          <w:sz w:val="22"/>
          <w:szCs w:val="22"/>
          <w:lang w:val="en-GB"/>
        </w:rPr>
        <w:t xml:space="preserve"> </w:t>
      </w:r>
      <w:proofErr w:type="spellStart"/>
      <w:r w:rsidRPr="00E90F29">
        <w:rPr>
          <w:rFonts w:ascii="Arial" w:hAnsi="Arial" w:cs="Arial"/>
          <w:i/>
          <w:sz w:val="22"/>
          <w:szCs w:val="22"/>
          <w:lang w:val="en-GB"/>
        </w:rPr>
        <w:t>materiae</w:t>
      </w:r>
      <w:proofErr w:type="spellEnd"/>
      <w:r w:rsidRPr="00E90F29">
        <w:rPr>
          <w:rFonts w:ascii="Arial" w:hAnsi="Arial" w:cs="Arial"/>
          <w:sz w:val="22"/>
          <w:szCs w:val="22"/>
          <w:lang w:val="en-GB"/>
        </w:rPr>
        <w:t xml:space="preserve">. For instance, in </w:t>
      </w:r>
      <w:proofErr w:type="spellStart"/>
      <w:r w:rsidRPr="00E90F29">
        <w:rPr>
          <w:rFonts w:ascii="Arial" w:hAnsi="Arial" w:cs="Arial"/>
          <w:i/>
          <w:sz w:val="22"/>
          <w:szCs w:val="22"/>
          <w:lang w:val="en-GB"/>
        </w:rPr>
        <w:t>Radoncic</w:t>
      </w:r>
      <w:proofErr w:type="spellEnd"/>
      <w:r w:rsidRPr="00E90F29">
        <w:rPr>
          <w:rFonts w:ascii="Arial" w:hAnsi="Arial" w:cs="Arial"/>
          <w:sz w:val="22"/>
          <w:szCs w:val="22"/>
          <w:lang w:val="en-GB"/>
        </w:rPr>
        <w:t>, the Panel dealt with the issue and right of presumption of innocence.</w:t>
      </w:r>
      <w:r w:rsidRPr="00E90F29">
        <w:rPr>
          <w:rStyle w:val="FootnoteReference"/>
          <w:rFonts w:ascii="Arial" w:hAnsi="Arial" w:cs="Arial"/>
          <w:sz w:val="22"/>
          <w:szCs w:val="22"/>
          <w:lang w:val="en-GB"/>
        </w:rPr>
        <w:footnoteReference w:id="119"/>
      </w:r>
      <w:r w:rsidRPr="00E90F29">
        <w:rPr>
          <w:rFonts w:ascii="Arial" w:hAnsi="Arial" w:cs="Arial"/>
          <w:sz w:val="22"/>
          <w:szCs w:val="22"/>
          <w:lang w:val="en-GB"/>
        </w:rPr>
        <w:t xml:space="preserve"> In </w:t>
      </w:r>
      <w:r w:rsidR="00BF1E48" w:rsidRPr="00E90F29">
        <w:rPr>
          <w:rFonts w:ascii="Arial" w:hAnsi="Arial" w:cs="Arial"/>
          <w:i/>
          <w:sz w:val="22"/>
          <w:szCs w:val="22"/>
          <w:lang w:val="en-GB"/>
        </w:rPr>
        <w:t>I against EULEX</w:t>
      </w:r>
      <w:r w:rsidRPr="00E90F29">
        <w:rPr>
          <w:rFonts w:ascii="Arial" w:hAnsi="Arial" w:cs="Arial"/>
          <w:sz w:val="22"/>
          <w:szCs w:val="22"/>
          <w:lang w:val="en-GB"/>
        </w:rPr>
        <w:t>, the Panel dealt with the question of corruption as an interference with the fundamental rights of citizens.</w:t>
      </w:r>
      <w:r w:rsidRPr="00E90F29">
        <w:rPr>
          <w:rStyle w:val="FootnoteReference"/>
          <w:rFonts w:ascii="Arial" w:hAnsi="Arial" w:cs="Arial"/>
          <w:sz w:val="22"/>
          <w:szCs w:val="22"/>
          <w:lang w:val="en-GB"/>
        </w:rPr>
        <w:footnoteReference w:id="120"/>
      </w:r>
      <w:r w:rsidR="00A73FDA" w:rsidRPr="00E90F29">
        <w:rPr>
          <w:rFonts w:ascii="Arial" w:hAnsi="Arial" w:cs="Arial"/>
          <w:sz w:val="22"/>
          <w:szCs w:val="22"/>
          <w:lang w:val="en-GB"/>
        </w:rPr>
        <w:t xml:space="preserve"> </w:t>
      </w:r>
      <w:r w:rsidR="00A73FDA" w:rsidRPr="00E90F29">
        <w:rPr>
          <w:rFonts w:ascii="Arial" w:hAnsi="Arial" w:cs="Arial"/>
          <w:color w:val="222222"/>
          <w:sz w:val="22"/>
          <w:szCs w:val="22"/>
          <w:shd w:val="clear" w:color="auto" w:fill="FFFFFF"/>
        </w:rPr>
        <w:t xml:space="preserve">The Panel held </w:t>
      </w:r>
      <w:r w:rsidR="00F160D4" w:rsidRPr="00E90F29">
        <w:rPr>
          <w:rFonts w:ascii="Arial" w:hAnsi="Arial" w:cs="Arial"/>
          <w:color w:val="222222"/>
          <w:sz w:val="22"/>
          <w:szCs w:val="22"/>
          <w:shd w:val="clear" w:color="auto" w:fill="FFFFFF"/>
        </w:rPr>
        <w:t xml:space="preserve">in that case </w:t>
      </w:r>
      <w:r w:rsidR="00A73FDA" w:rsidRPr="00E90F29">
        <w:rPr>
          <w:rFonts w:ascii="Arial" w:hAnsi="Arial" w:cs="Arial"/>
          <w:color w:val="222222"/>
          <w:sz w:val="22"/>
          <w:szCs w:val="22"/>
          <w:shd w:val="clear" w:color="auto" w:fill="FFFFFF"/>
        </w:rPr>
        <w:t>that “in certain situations corruption may indeed amount to or involve a threat to the effective enjoyment of human rights. The Panel emphasizes that corruption, in so far as it undermines the rule of law and the confidence of citizens in the effectiveness of the legal system, may constitute an obstacle to the effective realization and enjoyment of human rights”.</w:t>
      </w:r>
      <w:r w:rsidR="00A73FDA" w:rsidRPr="00E90F29">
        <w:rPr>
          <w:rStyle w:val="FootnoteReference"/>
          <w:rFonts w:ascii="Arial" w:hAnsi="Arial" w:cs="Arial"/>
          <w:color w:val="222222"/>
          <w:sz w:val="22"/>
          <w:szCs w:val="22"/>
          <w:shd w:val="clear" w:color="auto" w:fill="FFFFFF"/>
        </w:rPr>
        <w:footnoteReference w:id="121"/>
      </w:r>
      <w:r w:rsidR="00A73FDA" w:rsidRPr="00E90F29">
        <w:rPr>
          <w:rFonts w:ascii="Arial" w:hAnsi="Arial" w:cs="Arial"/>
          <w:color w:val="222222"/>
          <w:sz w:val="22"/>
          <w:szCs w:val="22"/>
          <w:shd w:val="clear" w:color="auto" w:fill="FFFFFF"/>
        </w:rPr>
        <w:t xml:space="preserve"> The Panel did “not exclude that corrupt </w:t>
      </w:r>
      <w:proofErr w:type="spellStart"/>
      <w:r w:rsidR="00A73FDA" w:rsidRPr="00E90F29">
        <w:rPr>
          <w:rFonts w:ascii="Arial" w:hAnsi="Arial" w:cs="Arial"/>
          <w:color w:val="222222"/>
          <w:sz w:val="22"/>
          <w:szCs w:val="22"/>
          <w:shd w:val="clear" w:color="auto" w:fill="FFFFFF"/>
        </w:rPr>
        <w:t>behaviour</w:t>
      </w:r>
      <w:proofErr w:type="spellEnd"/>
      <w:r w:rsidR="00A73FDA" w:rsidRPr="00E90F29">
        <w:rPr>
          <w:rFonts w:ascii="Arial" w:hAnsi="Arial" w:cs="Arial"/>
          <w:color w:val="222222"/>
          <w:sz w:val="22"/>
          <w:szCs w:val="22"/>
          <w:shd w:val="clear" w:color="auto" w:fill="FFFFFF"/>
        </w:rPr>
        <w:t xml:space="preserve"> of a public official could confer victim status on an individual whose human rights are affected by such conduct. However, for this to be the case, it would be necessary to establish a link between the alleged corrupt conduct and the detrimental consequences for that individual’s human rights”.</w:t>
      </w:r>
      <w:r w:rsidR="00A73FDA" w:rsidRPr="00E90F29">
        <w:rPr>
          <w:rStyle w:val="FootnoteReference"/>
          <w:rFonts w:ascii="Arial" w:hAnsi="Arial" w:cs="Arial"/>
          <w:color w:val="222222"/>
          <w:sz w:val="22"/>
          <w:szCs w:val="22"/>
          <w:shd w:val="clear" w:color="auto" w:fill="FFFFFF"/>
        </w:rPr>
        <w:footnoteReference w:id="122"/>
      </w:r>
      <w:r w:rsidR="00A73FDA" w:rsidRPr="00E90F29">
        <w:rPr>
          <w:rFonts w:ascii="Arial" w:hAnsi="Arial" w:cs="Arial"/>
          <w:color w:val="222222"/>
          <w:sz w:val="22"/>
          <w:szCs w:val="22"/>
          <w:shd w:val="clear" w:color="auto" w:fill="FFFFFF"/>
        </w:rPr>
        <w:t xml:space="preserve"> No such link was established in the case</w:t>
      </w:r>
      <w:r w:rsidR="00F160D4" w:rsidRPr="00E90F29">
        <w:rPr>
          <w:rFonts w:ascii="Arial" w:hAnsi="Arial" w:cs="Arial"/>
          <w:color w:val="222222"/>
          <w:sz w:val="22"/>
          <w:szCs w:val="22"/>
          <w:shd w:val="clear" w:color="auto" w:fill="FFFFFF"/>
        </w:rPr>
        <w:t xml:space="preserve"> in question.</w:t>
      </w:r>
    </w:p>
    <w:p w14:paraId="0CF64A5A" w14:textId="77777777" w:rsidR="00A73FDA" w:rsidRPr="00E90F29" w:rsidRDefault="00A73FDA" w:rsidP="00E90F29">
      <w:pPr>
        <w:shd w:val="clear" w:color="auto" w:fill="FFFFFF"/>
        <w:spacing w:line="360" w:lineRule="auto"/>
        <w:jc w:val="both"/>
        <w:rPr>
          <w:rFonts w:ascii="Arial" w:hAnsi="Arial" w:cs="Arial"/>
          <w:color w:val="222222"/>
          <w:sz w:val="22"/>
          <w:szCs w:val="22"/>
        </w:rPr>
      </w:pPr>
    </w:p>
    <w:p w14:paraId="1DF2D0ED" w14:textId="77777777" w:rsidR="00A73FDA" w:rsidRPr="00E90F29" w:rsidRDefault="00A73FDA" w:rsidP="00E90F29">
      <w:pPr>
        <w:spacing w:line="360" w:lineRule="auto"/>
        <w:jc w:val="both"/>
        <w:rPr>
          <w:rFonts w:ascii="Arial" w:hAnsi="Arial" w:cs="Arial"/>
          <w:sz w:val="22"/>
          <w:szCs w:val="22"/>
          <w:lang w:val="en-GB"/>
        </w:rPr>
      </w:pPr>
    </w:p>
    <w:p w14:paraId="798A0554" w14:textId="77777777" w:rsidR="001003FB" w:rsidRPr="00E90F29" w:rsidRDefault="001003FB" w:rsidP="00E90F29">
      <w:pPr>
        <w:spacing w:line="360" w:lineRule="auto"/>
        <w:jc w:val="both"/>
        <w:rPr>
          <w:rFonts w:ascii="Arial" w:hAnsi="Arial" w:cs="Arial"/>
          <w:sz w:val="22"/>
          <w:szCs w:val="22"/>
          <w:lang w:val="en-GB"/>
        </w:rPr>
      </w:pPr>
    </w:p>
    <w:sectPr w:rsidR="001003FB" w:rsidRPr="00E90F29" w:rsidSect="000F25B2">
      <w:footerReference w:type="even" r:id="rId19"/>
      <w:footerReference w:type="default" r:id="rId20"/>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F97C3" w14:textId="77777777" w:rsidR="0069753D" w:rsidRDefault="0069753D" w:rsidP="00F86BBF">
      <w:r>
        <w:separator/>
      </w:r>
    </w:p>
  </w:endnote>
  <w:endnote w:type="continuationSeparator" w:id="0">
    <w:p w14:paraId="5BE95620" w14:textId="77777777" w:rsidR="0069753D" w:rsidRDefault="0069753D" w:rsidP="00F86B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A00002EF" w:usb1="4000207B"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9BB20" w14:textId="77777777" w:rsidR="00E37AA9" w:rsidRDefault="00E37AA9" w:rsidP="00013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06EF5E" w14:textId="77777777" w:rsidR="00E37AA9" w:rsidRDefault="00E37AA9" w:rsidP="000135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DCD40" w14:textId="77777777" w:rsidR="00E37AA9" w:rsidRDefault="00E37AA9" w:rsidP="000135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1EE50000" w14:textId="77777777" w:rsidR="00E37AA9" w:rsidRDefault="00E37AA9" w:rsidP="000135B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B33F57" w14:textId="77777777" w:rsidR="0069753D" w:rsidRDefault="0069753D" w:rsidP="00F86BBF">
      <w:r>
        <w:separator/>
      </w:r>
    </w:p>
  </w:footnote>
  <w:footnote w:type="continuationSeparator" w:id="0">
    <w:p w14:paraId="36AC4222" w14:textId="77777777" w:rsidR="0069753D" w:rsidRDefault="0069753D" w:rsidP="00F86BBF">
      <w:r>
        <w:continuationSeparator/>
      </w:r>
    </w:p>
  </w:footnote>
  <w:footnote w:id="1">
    <w:p w14:paraId="42474560" w14:textId="676B8F9F"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w:t>
      </w:r>
      <w:proofErr w:type="spellStart"/>
      <w:r w:rsidRPr="004F1F82">
        <w:rPr>
          <w:rFonts w:ascii="Arial" w:hAnsi="Arial" w:cs="Arial"/>
          <w:i/>
          <w:sz w:val="20"/>
          <w:szCs w:val="20"/>
        </w:rPr>
        <w:t>Zhydi</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17 October 2017, par 12; </w:t>
      </w:r>
      <w:r w:rsidRPr="004F1F82">
        <w:rPr>
          <w:rFonts w:ascii="Arial" w:hAnsi="Arial" w:cs="Arial"/>
          <w:i/>
          <w:sz w:val="20"/>
          <w:szCs w:val="20"/>
        </w:rPr>
        <w:t>Ramadan Hamza</w:t>
      </w:r>
      <w:r w:rsidRPr="004F1F82">
        <w:rPr>
          <w:rFonts w:ascii="Arial" w:hAnsi="Arial" w:cs="Arial"/>
          <w:sz w:val="20"/>
          <w:szCs w:val="20"/>
        </w:rPr>
        <w:t xml:space="preserve">, 13 June 2017, par 4; </w:t>
      </w:r>
      <w:proofErr w:type="spellStart"/>
      <w:r w:rsidRPr="004F1F82">
        <w:rPr>
          <w:rFonts w:ascii="Arial" w:hAnsi="Arial" w:cs="Arial"/>
          <w:i/>
          <w:sz w:val="20"/>
          <w:szCs w:val="20"/>
        </w:rPr>
        <w:t>Rajovic</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Inadmissibility Decision, 9 April 2014, par 13; </w:t>
      </w:r>
      <w:r w:rsidRPr="004F1F82">
        <w:rPr>
          <w:rFonts w:ascii="Arial" w:hAnsi="Arial" w:cs="Arial"/>
          <w:i/>
          <w:sz w:val="20"/>
          <w:szCs w:val="20"/>
        </w:rPr>
        <w:t>I against EULEX</w:t>
      </w:r>
      <w:r w:rsidRPr="004F1F82">
        <w:rPr>
          <w:rFonts w:ascii="Arial" w:hAnsi="Arial" w:cs="Arial"/>
          <w:sz w:val="20"/>
          <w:szCs w:val="20"/>
        </w:rPr>
        <w:t xml:space="preserve">, Inadmissibility Decision, 27 November 2013, par 10. </w:t>
      </w:r>
    </w:p>
  </w:footnote>
  <w:footnote w:id="2">
    <w:p w14:paraId="171379B4" w14:textId="4C6539C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Ibid</w:t>
      </w:r>
      <w:r w:rsidRPr="004F1F82">
        <w:rPr>
          <w:rFonts w:ascii="Arial" w:hAnsi="Arial" w:cs="Arial"/>
          <w:sz w:val="20"/>
          <w:szCs w:val="20"/>
        </w:rPr>
        <w:t xml:space="preserve">. </w:t>
      </w:r>
    </w:p>
  </w:footnote>
  <w:footnote w:id="3">
    <w:p w14:paraId="7C74351D" w14:textId="2DC7C4EE"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H &amp; G against EULEX</w:t>
      </w:r>
      <w:r w:rsidRPr="004F1F82">
        <w:rPr>
          <w:rFonts w:ascii="Arial" w:hAnsi="Arial" w:cs="Arial"/>
          <w:sz w:val="20"/>
          <w:szCs w:val="20"/>
        </w:rPr>
        <w:t xml:space="preserve">, </w:t>
      </w:r>
      <w:r w:rsidRPr="004F1F82">
        <w:rPr>
          <w:rFonts w:ascii="Arial" w:hAnsi="Arial" w:cs="Arial"/>
          <w:bCs/>
          <w:sz w:val="20"/>
          <w:szCs w:val="20"/>
          <w:lang w:val="en-GB"/>
        </w:rPr>
        <w:t>30 September 2013, para. 44</w:t>
      </w:r>
      <w:r w:rsidRPr="004F1F82">
        <w:rPr>
          <w:rFonts w:ascii="Arial" w:hAnsi="Arial" w:cs="Arial"/>
          <w:sz w:val="20"/>
          <w:szCs w:val="20"/>
          <w:lang w:val="en-GB"/>
        </w:rPr>
        <w:t>.</w:t>
      </w:r>
    </w:p>
  </w:footnote>
  <w:footnote w:id="4">
    <w:p w14:paraId="112691F3" w14:textId="7777777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Zahiti</w:t>
      </w:r>
      <w:proofErr w:type="spellEnd"/>
      <w:r w:rsidRPr="004F1F82">
        <w:rPr>
          <w:rFonts w:ascii="Arial" w:hAnsi="Arial" w:cs="Arial"/>
          <w:i/>
          <w:sz w:val="20"/>
          <w:szCs w:val="20"/>
        </w:rPr>
        <w:t xml:space="preserve"> against EULEX</w:t>
      </w:r>
      <w:r w:rsidRPr="004F1F82">
        <w:rPr>
          <w:rFonts w:ascii="Arial" w:hAnsi="Arial" w:cs="Arial"/>
          <w:sz w:val="20"/>
          <w:szCs w:val="20"/>
        </w:rPr>
        <w:t>, 2012-14, 4 February 2014, para. 64.</w:t>
      </w:r>
    </w:p>
  </w:footnote>
  <w:footnote w:id="5">
    <w:p w14:paraId="0FB9C6DC" w14:textId="7777777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w:t>
      </w:r>
      <w:r w:rsidRPr="004F1F82">
        <w:rPr>
          <w:rFonts w:ascii="Arial" w:hAnsi="Arial" w:cs="Arial"/>
          <w:i/>
          <w:sz w:val="20"/>
          <w:szCs w:val="20"/>
          <w:lang w:val="en-GB"/>
        </w:rPr>
        <w:t xml:space="preserve">D.W., E.V., F.U., G.T., </w:t>
      </w:r>
      <w:proofErr w:type="spellStart"/>
      <w:r w:rsidRPr="004F1F82">
        <w:rPr>
          <w:rFonts w:ascii="Arial" w:hAnsi="Arial" w:cs="Arial"/>
          <w:i/>
          <w:sz w:val="20"/>
          <w:szCs w:val="20"/>
          <w:lang w:val="en-GB"/>
        </w:rPr>
        <w:t>Zlata</w:t>
      </w:r>
      <w:proofErr w:type="spellEnd"/>
      <w:r w:rsidRPr="004F1F82">
        <w:rPr>
          <w:rFonts w:ascii="Arial" w:hAnsi="Arial" w:cs="Arial"/>
          <w:i/>
          <w:sz w:val="20"/>
          <w:szCs w:val="20"/>
          <w:lang w:val="en-GB"/>
        </w:rPr>
        <w:t xml:space="preserve"> </w:t>
      </w:r>
      <w:proofErr w:type="spellStart"/>
      <w:r w:rsidRPr="004F1F82">
        <w:rPr>
          <w:rFonts w:ascii="Arial" w:hAnsi="Arial" w:cs="Arial"/>
          <w:i/>
          <w:sz w:val="20"/>
          <w:szCs w:val="20"/>
          <w:lang w:val="en-GB"/>
        </w:rPr>
        <w:t>Veselinović</w:t>
      </w:r>
      <w:proofErr w:type="spellEnd"/>
      <w:r w:rsidRPr="004F1F82">
        <w:rPr>
          <w:rFonts w:ascii="Arial" w:hAnsi="Arial" w:cs="Arial"/>
          <w:i/>
          <w:sz w:val="20"/>
          <w:szCs w:val="20"/>
          <w:lang w:val="en-GB"/>
        </w:rPr>
        <w:t>, H.S., I.R. against EULEX</w:t>
      </w:r>
      <w:r w:rsidRPr="004F1F82">
        <w:rPr>
          <w:rFonts w:ascii="Arial" w:hAnsi="Arial" w:cs="Arial"/>
          <w:sz w:val="20"/>
          <w:szCs w:val="20"/>
          <w:lang w:val="en-GB"/>
        </w:rPr>
        <w:t xml:space="preserve">, 2014-11 to 2014-17,  </w:t>
      </w:r>
      <w:r w:rsidRPr="004F1F82">
        <w:rPr>
          <w:rFonts w:ascii="Arial" w:hAnsi="Arial" w:cs="Arial"/>
          <w:sz w:val="20"/>
          <w:szCs w:val="20"/>
        </w:rPr>
        <w:t>30 September 2015,</w:t>
      </w:r>
      <w:r w:rsidRPr="004F1F82">
        <w:rPr>
          <w:rFonts w:ascii="Arial" w:hAnsi="Arial" w:cs="Arial"/>
          <w:sz w:val="20"/>
          <w:szCs w:val="20"/>
          <w:lang w:val="en-GB"/>
        </w:rPr>
        <w:t xml:space="preserve"> para. 72; see also </w:t>
      </w:r>
      <w:r w:rsidRPr="004F1F82">
        <w:rPr>
          <w:rFonts w:ascii="Arial" w:hAnsi="Arial" w:cs="Arial"/>
          <w:i/>
          <w:sz w:val="20"/>
          <w:szCs w:val="20"/>
          <w:lang w:val="en-GB"/>
        </w:rPr>
        <w:t>L.O. against EULEX</w:t>
      </w:r>
      <w:r w:rsidRPr="004F1F82">
        <w:rPr>
          <w:rFonts w:ascii="Arial" w:hAnsi="Arial" w:cs="Arial"/>
          <w:sz w:val="20"/>
          <w:szCs w:val="20"/>
          <w:lang w:val="en-GB"/>
        </w:rPr>
        <w:t>, 2014-32, 11 November 2015, para. 42</w:t>
      </w:r>
      <w:r w:rsidRPr="004F1F82">
        <w:rPr>
          <w:rFonts w:ascii="Arial" w:hAnsi="Arial" w:cs="Arial"/>
          <w:i/>
          <w:sz w:val="20"/>
          <w:szCs w:val="20"/>
          <w:lang w:val="en-GB"/>
        </w:rPr>
        <w:t>;</w:t>
      </w:r>
      <w:r w:rsidRPr="004F1F82">
        <w:rPr>
          <w:rFonts w:ascii="Arial" w:hAnsi="Arial" w:cs="Arial"/>
          <w:sz w:val="20"/>
          <w:szCs w:val="20"/>
          <w:lang w:val="en-GB"/>
        </w:rPr>
        <w:t xml:space="preserve"> compare also HRAP opinion in cases </w:t>
      </w:r>
      <w:proofErr w:type="spellStart"/>
      <w:r w:rsidRPr="004F1F82">
        <w:rPr>
          <w:rFonts w:ascii="Arial" w:hAnsi="Arial" w:cs="Arial"/>
          <w:sz w:val="20"/>
          <w:szCs w:val="20"/>
          <w:lang w:val="en-GB"/>
        </w:rPr>
        <w:t>nos</w:t>
      </w:r>
      <w:proofErr w:type="spellEnd"/>
      <w:r w:rsidRPr="004F1F82">
        <w:rPr>
          <w:rFonts w:ascii="Arial" w:hAnsi="Arial" w:cs="Arial"/>
          <w:sz w:val="20"/>
          <w:szCs w:val="20"/>
          <w:lang w:val="en-GB"/>
        </w:rPr>
        <w:t xml:space="preserve"> 248/09, 250/09 and 251/09, 25 April 2013, para. 35; </w:t>
      </w:r>
      <w:proofErr w:type="spellStart"/>
      <w:r w:rsidRPr="004F1F82">
        <w:rPr>
          <w:rFonts w:ascii="Arial" w:hAnsi="Arial" w:cs="Arial"/>
          <w:i/>
          <w:sz w:val="20"/>
          <w:szCs w:val="20"/>
        </w:rPr>
        <w:t>Sadiku-Syla</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2014-34, 19 October 2016, para. 30; </w:t>
      </w:r>
      <w:r w:rsidRPr="004F1F82">
        <w:rPr>
          <w:rFonts w:ascii="Arial" w:hAnsi="Arial" w:cs="Arial"/>
          <w:bCs/>
          <w:i/>
          <w:sz w:val="20"/>
          <w:szCs w:val="20"/>
          <w:lang w:val="en-GB"/>
        </w:rPr>
        <w:t xml:space="preserve">D.W., E.V., F.U., G.T., </w:t>
      </w:r>
      <w:proofErr w:type="spellStart"/>
      <w:r w:rsidRPr="004F1F82">
        <w:rPr>
          <w:rFonts w:ascii="Arial" w:hAnsi="Arial" w:cs="Arial"/>
          <w:bCs/>
          <w:i/>
          <w:sz w:val="20"/>
          <w:szCs w:val="20"/>
          <w:lang w:val="en-GB"/>
        </w:rPr>
        <w:t>Zlata</w:t>
      </w:r>
      <w:proofErr w:type="spellEnd"/>
      <w:r w:rsidRPr="004F1F82">
        <w:rPr>
          <w:rFonts w:ascii="Arial" w:hAnsi="Arial" w:cs="Arial"/>
          <w:bCs/>
          <w:i/>
          <w:sz w:val="20"/>
          <w:szCs w:val="20"/>
          <w:lang w:val="en-GB"/>
        </w:rPr>
        <w:t xml:space="preserve"> </w:t>
      </w:r>
      <w:proofErr w:type="spellStart"/>
      <w:r w:rsidRPr="004F1F82">
        <w:rPr>
          <w:rFonts w:ascii="Arial" w:hAnsi="Arial" w:cs="Arial"/>
          <w:bCs/>
          <w:i/>
          <w:sz w:val="20"/>
          <w:szCs w:val="20"/>
          <w:lang w:val="en-GB"/>
        </w:rPr>
        <w:t>Veselinović</w:t>
      </w:r>
      <w:proofErr w:type="spellEnd"/>
      <w:r w:rsidRPr="004F1F82">
        <w:rPr>
          <w:rFonts w:ascii="Arial" w:hAnsi="Arial" w:cs="Arial"/>
          <w:bCs/>
          <w:i/>
          <w:sz w:val="20"/>
          <w:szCs w:val="20"/>
          <w:lang w:val="en-GB"/>
        </w:rPr>
        <w:t>, H.S., and I.R. against EULEX,</w:t>
      </w:r>
      <w:r w:rsidRPr="004F1F82">
        <w:rPr>
          <w:rFonts w:ascii="Arial" w:hAnsi="Arial" w:cs="Arial"/>
          <w:bCs/>
          <w:sz w:val="20"/>
          <w:szCs w:val="20"/>
          <w:lang w:val="en-GB"/>
        </w:rPr>
        <w:t xml:space="preserve"> 2014-11 to 2014-17, 19 October 2016, para. 56.</w:t>
      </w:r>
    </w:p>
  </w:footnote>
  <w:footnote w:id="6">
    <w:p w14:paraId="650EA682" w14:textId="63DAB9CC"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w:t>
      </w:r>
      <w:r w:rsidRPr="004F1F82">
        <w:rPr>
          <w:rFonts w:ascii="Arial" w:hAnsi="Arial" w:cs="Arial"/>
          <w:i/>
          <w:sz w:val="20"/>
          <w:szCs w:val="20"/>
        </w:rPr>
        <w:t>H &amp; G against EULEX</w:t>
      </w:r>
      <w:r w:rsidRPr="004F1F82">
        <w:rPr>
          <w:rFonts w:ascii="Arial" w:hAnsi="Arial" w:cs="Arial"/>
          <w:sz w:val="20"/>
          <w:szCs w:val="20"/>
        </w:rPr>
        <w:t xml:space="preserve">, </w:t>
      </w:r>
      <w:r w:rsidRPr="004F1F82">
        <w:rPr>
          <w:rFonts w:ascii="Arial" w:hAnsi="Arial" w:cs="Arial"/>
          <w:bCs/>
          <w:sz w:val="20"/>
          <w:szCs w:val="20"/>
          <w:lang w:val="en-GB"/>
        </w:rPr>
        <w:t xml:space="preserve">30 September 2013, para. 41. </w:t>
      </w:r>
    </w:p>
  </w:footnote>
  <w:footnote w:id="7">
    <w:p w14:paraId="7E16B917" w14:textId="56936025"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Zahiti</w:t>
      </w:r>
      <w:proofErr w:type="spellEnd"/>
      <w:r w:rsidRPr="004F1F82">
        <w:rPr>
          <w:rFonts w:ascii="Arial" w:hAnsi="Arial" w:cs="Arial"/>
          <w:i/>
          <w:sz w:val="20"/>
          <w:szCs w:val="20"/>
        </w:rPr>
        <w:t xml:space="preserve"> against EULEX</w:t>
      </w:r>
      <w:r w:rsidRPr="004F1F82">
        <w:rPr>
          <w:rFonts w:ascii="Arial" w:hAnsi="Arial" w:cs="Arial"/>
          <w:sz w:val="20"/>
          <w:szCs w:val="20"/>
        </w:rPr>
        <w:t>, 4 February 2014, para. 64.</w:t>
      </w:r>
    </w:p>
  </w:footnote>
  <w:footnote w:id="8">
    <w:p w14:paraId="48C7AED3" w14:textId="6EDC4128"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H &amp; G against EULEX</w:t>
      </w:r>
      <w:r w:rsidRPr="004F1F82">
        <w:rPr>
          <w:rFonts w:ascii="Arial" w:hAnsi="Arial" w:cs="Arial"/>
          <w:sz w:val="20"/>
          <w:szCs w:val="20"/>
        </w:rPr>
        <w:t xml:space="preserve">, </w:t>
      </w:r>
      <w:r w:rsidRPr="004F1F82">
        <w:rPr>
          <w:rFonts w:ascii="Arial" w:hAnsi="Arial" w:cs="Arial"/>
          <w:bCs/>
          <w:sz w:val="20"/>
          <w:szCs w:val="20"/>
          <w:lang w:val="en-GB"/>
        </w:rPr>
        <w:t xml:space="preserve">30 September 2013, para. 53. See also </w:t>
      </w:r>
      <w:r w:rsidRPr="004F1F82">
        <w:rPr>
          <w:rFonts w:ascii="Arial" w:hAnsi="Arial" w:cs="Arial"/>
          <w:i/>
          <w:sz w:val="20"/>
          <w:szCs w:val="20"/>
          <w:lang w:val="en-GB"/>
        </w:rPr>
        <w:t>A,B,C,D against EULEX</w:t>
      </w:r>
      <w:r w:rsidRPr="004F1F82">
        <w:rPr>
          <w:rFonts w:ascii="Arial" w:hAnsi="Arial" w:cs="Arial"/>
          <w:sz w:val="20"/>
          <w:szCs w:val="20"/>
          <w:lang w:val="en-GB"/>
        </w:rPr>
        <w:t xml:space="preserve"> 20 June 2013, paras. 59-61.</w:t>
      </w:r>
    </w:p>
  </w:footnote>
  <w:footnote w:id="9">
    <w:p w14:paraId="4BC29D10" w14:textId="77777777" w:rsidR="00E37AA9" w:rsidRPr="004F1F82" w:rsidRDefault="00E37AA9" w:rsidP="004F1F82">
      <w:pPr>
        <w:pStyle w:val="ColorfulShading-Accent31"/>
        <w:ind w:left="0"/>
        <w:contextualSpacing/>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bCs/>
          <w:i/>
          <w:sz w:val="20"/>
          <w:szCs w:val="20"/>
          <w:lang w:val="en-GB"/>
        </w:rPr>
        <w:t xml:space="preserve">D.W., E.V., F.U., G.T., </w:t>
      </w:r>
      <w:proofErr w:type="spellStart"/>
      <w:r w:rsidRPr="004F1F82">
        <w:rPr>
          <w:rFonts w:ascii="Arial" w:hAnsi="Arial" w:cs="Arial"/>
          <w:bCs/>
          <w:i/>
          <w:sz w:val="20"/>
          <w:szCs w:val="20"/>
          <w:lang w:val="en-GB"/>
        </w:rPr>
        <w:t>Zlata</w:t>
      </w:r>
      <w:proofErr w:type="spellEnd"/>
      <w:r w:rsidRPr="004F1F82">
        <w:rPr>
          <w:rFonts w:ascii="Arial" w:hAnsi="Arial" w:cs="Arial"/>
          <w:bCs/>
          <w:i/>
          <w:sz w:val="20"/>
          <w:szCs w:val="20"/>
          <w:lang w:val="en-GB"/>
        </w:rPr>
        <w:t xml:space="preserve"> </w:t>
      </w:r>
      <w:proofErr w:type="spellStart"/>
      <w:r w:rsidRPr="004F1F82">
        <w:rPr>
          <w:rFonts w:ascii="Arial" w:hAnsi="Arial" w:cs="Arial"/>
          <w:bCs/>
          <w:i/>
          <w:sz w:val="20"/>
          <w:szCs w:val="20"/>
          <w:lang w:val="en-GB"/>
        </w:rPr>
        <w:t>Veselinović</w:t>
      </w:r>
      <w:proofErr w:type="spellEnd"/>
      <w:r w:rsidRPr="004F1F82">
        <w:rPr>
          <w:rFonts w:ascii="Arial" w:hAnsi="Arial" w:cs="Arial"/>
          <w:bCs/>
          <w:i/>
          <w:sz w:val="20"/>
          <w:szCs w:val="20"/>
          <w:lang w:val="en-GB"/>
        </w:rPr>
        <w:t>, H.S., and I.R. against EULEX</w:t>
      </w:r>
      <w:r w:rsidRPr="004F1F82">
        <w:rPr>
          <w:rFonts w:ascii="Arial" w:hAnsi="Arial" w:cs="Arial"/>
          <w:bCs/>
          <w:sz w:val="20"/>
          <w:szCs w:val="20"/>
          <w:lang w:val="en-GB"/>
        </w:rPr>
        <w:t>, 2014-11 to 2014-17, 19 October 2016</w:t>
      </w:r>
      <w:r w:rsidRPr="004F1F82">
        <w:rPr>
          <w:rFonts w:ascii="Arial" w:hAnsi="Arial" w:cs="Arial"/>
          <w:sz w:val="20"/>
          <w:szCs w:val="20"/>
          <w:lang w:val="en-GB"/>
        </w:rPr>
        <w:t xml:space="preserve">, para. 58 and its references to paras. 9, 10 and 49 in the same decision, and to </w:t>
      </w:r>
      <w:r w:rsidRPr="004F1F82">
        <w:rPr>
          <w:rFonts w:ascii="Arial" w:hAnsi="Arial" w:cs="Arial"/>
          <w:bCs/>
          <w:i/>
          <w:sz w:val="20"/>
          <w:szCs w:val="20"/>
          <w:lang w:val="en-GB"/>
        </w:rPr>
        <w:t xml:space="preserve">D.W., E.V., F.U., G.T., </w:t>
      </w:r>
      <w:proofErr w:type="spellStart"/>
      <w:r w:rsidRPr="004F1F82">
        <w:rPr>
          <w:rFonts w:ascii="Arial" w:hAnsi="Arial" w:cs="Arial"/>
          <w:bCs/>
          <w:i/>
          <w:sz w:val="20"/>
          <w:szCs w:val="20"/>
          <w:lang w:val="en-GB"/>
        </w:rPr>
        <w:t>Zlata</w:t>
      </w:r>
      <w:proofErr w:type="spellEnd"/>
      <w:r w:rsidRPr="004F1F82">
        <w:rPr>
          <w:rFonts w:ascii="Arial" w:hAnsi="Arial" w:cs="Arial"/>
          <w:bCs/>
          <w:i/>
          <w:sz w:val="20"/>
          <w:szCs w:val="20"/>
          <w:lang w:val="en-GB"/>
        </w:rPr>
        <w:t xml:space="preserve"> </w:t>
      </w:r>
      <w:proofErr w:type="spellStart"/>
      <w:r w:rsidRPr="004F1F82">
        <w:rPr>
          <w:rFonts w:ascii="Arial" w:hAnsi="Arial" w:cs="Arial"/>
          <w:bCs/>
          <w:i/>
          <w:sz w:val="20"/>
          <w:szCs w:val="20"/>
          <w:lang w:val="en-GB"/>
        </w:rPr>
        <w:t>Veselinović</w:t>
      </w:r>
      <w:proofErr w:type="spellEnd"/>
      <w:r w:rsidRPr="004F1F82">
        <w:rPr>
          <w:rFonts w:ascii="Arial" w:hAnsi="Arial" w:cs="Arial"/>
          <w:bCs/>
          <w:i/>
          <w:sz w:val="20"/>
          <w:szCs w:val="20"/>
          <w:lang w:val="en-GB"/>
        </w:rPr>
        <w:t>, H.S., I.R. against EULEX</w:t>
      </w:r>
      <w:r w:rsidRPr="004F1F82">
        <w:rPr>
          <w:rFonts w:ascii="Arial" w:hAnsi="Arial" w:cs="Arial"/>
          <w:bCs/>
          <w:sz w:val="20"/>
          <w:szCs w:val="20"/>
          <w:lang w:val="en-GB"/>
        </w:rPr>
        <w:t xml:space="preserve">, 2014-11 to 2014-17, 30 September 2015, para. 75; </w:t>
      </w:r>
      <w:r w:rsidRPr="004F1F82">
        <w:rPr>
          <w:rFonts w:ascii="Arial" w:hAnsi="Arial" w:cs="Arial"/>
          <w:bCs/>
          <w:i/>
          <w:sz w:val="20"/>
          <w:szCs w:val="20"/>
          <w:lang w:val="en-GB"/>
        </w:rPr>
        <w:t>L.O. against EULEX</w:t>
      </w:r>
      <w:r w:rsidRPr="004F1F82">
        <w:rPr>
          <w:rFonts w:ascii="Arial" w:hAnsi="Arial" w:cs="Arial"/>
          <w:bCs/>
          <w:sz w:val="20"/>
          <w:szCs w:val="20"/>
          <w:lang w:val="en-GB"/>
        </w:rPr>
        <w:t xml:space="preserve">, 2014-32, 11 November 2015, paras. 46-47. See also </w:t>
      </w:r>
      <w:proofErr w:type="spellStart"/>
      <w:r w:rsidRPr="004F1F82">
        <w:rPr>
          <w:rFonts w:ascii="Arial" w:hAnsi="Arial" w:cs="Arial"/>
          <w:i/>
          <w:sz w:val="20"/>
          <w:szCs w:val="20"/>
        </w:rPr>
        <w:t>Sadiku-Syla</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2014-3419 October 2016, para. 32; </w:t>
      </w:r>
      <w:r w:rsidRPr="004F1F82">
        <w:rPr>
          <w:rFonts w:ascii="Arial" w:hAnsi="Arial" w:cs="Arial"/>
          <w:bCs/>
          <w:i/>
          <w:sz w:val="20"/>
          <w:szCs w:val="20"/>
          <w:lang w:val="en-GB"/>
        </w:rPr>
        <w:t xml:space="preserve">D.W., E.V., F.U., G.T., </w:t>
      </w:r>
      <w:proofErr w:type="spellStart"/>
      <w:r w:rsidRPr="004F1F82">
        <w:rPr>
          <w:rFonts w:ascii="Arial" w:hAnsi="Arial" w:cs="Arial"/>
          <w:bCs/>
          <w:i/>
          <w:sz w:val="20"/>
          <w:szCs w:val="20"/>
          <w:lang w:val="en-GB"/>
        </w:rPr>
        <w:t>Zlata</w:t>
      </w:r>
      <w:proofErr w:type="spellEnd"/>
      <w:r w:rsidRPr="004F1F82">
        <w:rPr>
          <w:rFonts w:ascii="Arial" w:hAnsi="Arial" w:cs="Arial"/>
          <w:bCs/>
          <w:i/>
          <w:sz w:val="20"/>
          <w:szCs w:val="20"/>
          <w:lang w:val="en-GB"/>
        </w:rPr>
        <w:t xml:space="preserve"> </w:t>
      </w:r>
      <w:proofErr w:type="spellStart"/>
      <w:r w:rsidRPr="004F1F82">
        <w:rPr>
          <w:rFonts w:ascii="Arial" w:hAnsi="Arial" w:cs="Arial"/>
          <w:bCs/>
          <w:i/>
          <w:sz w:val="20"/>
          <w:szCs w:val="20"/>
          <w:lang w:val="en-GB"/>
        </w:rPr>
        <w:t>Veselinović</w:t>
      </w:r>
      <w:proofErr w:type="spellEnd"/>
      <w:r w:rsidRPr="004F1F82">
        <w:rPr>
          <w:rFonts w:ascii="Arial" w:hAnsi="Arial" w:cs="Arial"/>
          <w:bCs/>
          <w:i/>
          <w:sz w:val="20"/>
          <w:szCs w:val="20"/>
          <w:lang w:val="en-GB"/>
        </w:rPr>
        <w:t>, H.S., and I.R. against EULEX</w:t>
      </w:r>
      <w:r w:rsidRPr="004F1F82">
        <w:rPr>
          <w:rFonts w:ascii="Arial" w:hAnsi="Arial" w:cs="Arial"/>
          <w:bCs/>
          <w:sz w:val="20"/>
          <w:szCs w:val="20"/>
          <w:lang w:val="en-GB"/>
        </w:rPr>
        <w:t>, 2014-11 to 2014-17,  19 October 2016, para. 64.</w:t>
      </w:r>
    </w:p>
  </w:footnote>
  <w:footnote w:id="10">
    <w:p w14:paraId="30F8712A" w14:textId="3682FE51"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w:t>
      </w:r>
      <w:proofErr w:type="spellStart"/>
      <w:r w:rsidRPr="004F1F82">
        <w:rPr>
          <w:rFonts w:ascii="Arial" w:hAnsi="Arial" w:cs="Arial"/>
          <w:i/>
          <w:sz w:val="20"/>
          <w:szCs w:val="20"/>
        </w:rPr>
        <w:t>Thaqi</w:t>
      </w:r>
      <w:proofErr w:type="spellEnd"/>
      <w:r w:rsidRPr="004F1F82">
        <w:rPr>
          <w:rFonts w:ascii="Arial" w:hAnsi="Arial" w:cs="Arial"/>
          <w:i/>
          <w:sz w:val="20"/>
          <w:szCs w:val="20"/>
        </w:rPr>
        <w:t xml:space="preserve"> against EULEX</w:t>
      </w:r>
      <w:r w:rsidRPr="004F1F82">
        <w:rPr>
          <w:rFonts w:ascii="Arial" w:hAnsi="Arial" w:cs="Arial"/>
          <w:sz w:val="20"/>
          <w:szCs w:val="20"/>
        </w:rPr>
        <w:t>, 14 September 2011, par 68 (“</w:t>
      </w:r>
      <w:r w:rsidRPr="004F1F82">
        <w:rPr>
          <w:rStyle w:val="JuParaCar"/>
          <w:rFonts w:ascii="Arial" w:hAnsi="Arial" w:cs="Arial"/>
          <w:color w:val="000000"/>
          <w:sz w:val="20"/>
        </w:rPr>
        <w:t xml:space="preserve">Having regard to its fundamental character, Article 2 of the Convention imposes also a procedural obligation on the authorities to carry out an effective investigation into alleged breaches of the substantive limb of these provisions (see, among other authorities, </w:t>
      </w:r>
      <w:r w:rsidRPr="004F1F82">
        <w:rPr>
          <w:rFonts w:ascii="Arial" w:hAnsi="Arial" w:cs="Arial"/>
          <w:i/>
          <w:color w:val="000000"/>
          <w:sz w:val="20"/>
          <w:szCs w:val="20"/>
        </w:rPr>
        <w:t xml:space="preserve">Giuliani and </w:t>
      </w:r>
      <w:proofErr w:type="spellStart"/>
      <w:r w:rsidRPr="004F1F82">
        <w:rPr>
          <w:rFonts w:ascii="Arial" w:hAnsi="Arial" w:cs="Arial"/>
          <w:i/>
          <w:color w:val="000000"/>
          <w:sz w:val="20"/>
          <w:szCs w:val="20"/>
        </w:rPr>
        <w:t>Gaggio</w:t>
      </w:r>
      <w:proofErr w:type="spellEnd"/>
      <w:r w:rsidRPr="004F1F82">
        <w:rPr>
          <w:rFonts w:ascii="Arial" w:hAnsi="Arial" w:cs="Arial"/>
          <w:i/>
          <w:color w:val="000000"/>
          <w:sz w:val="20"/>
          <w:szCs w:val="20"/>
        </w:rPr>
        <w:t xml:space="preserve"> v. Italy </w:t>
      </w:r>
      <w:r w:rsidRPr="004F1F82">
        <w:rPr>
          <w:rFonts w:ascii="Arial" w:hAnsi="Arial" w:cs="Arial"/>
          <w:color w:val="000000"/>
          <w:sz w:val="20"/>
          <w:szCs w:val="20"/>
        </w:rPr>
        <w:t>[GC], no. 23458/02</w:t>
      </w:r>
      <w:r w:rsidRPr="004F1F82">
        <w:rPr>
          <w:rFonts w:ascii="Arial" w:hAnsi="Arial" w:cs="Arial"/>
          <w:snapToGrid w:val="0"/>
          <w:color w:val="000000"/>
          <w:sz w:val="20"/>
          <w:szCs w:val="20"/>
          <w:lang w:val="pt-BR"/>
        </w:rPr>
        <w:t xml:space="preserve">, § 298, </w:t>
      </w:r>
      <w:r w:rsidRPr="004F1F82">
        <w:rPr>
          <w:rFonts w:ascii="Arial" w:hAnsi="Arial" w:cs="Arial"/>
          <w:color w:val="000000"/>
          <w:sz w:val="20"/>
          <w:szCs w:val="20"/>
          <w:lang w:val="pt-BR"/>
        </w:rPr>
        <w:t xml:space="preserve">24 </w:t>
      </w:r>
      <w:r w:rsidRPr="004F1F82">
        <w:rPr>
          <w:rFonts w:ascii="Arial" w:hAnsi="Arial" w:cs="Arial"/>
          <w:snapToGrid w:val="0"/>
          <w:color w:val="000000"/>
          <w:sz w:val="20"/>
          <w:szCs w:val="20"/>
          <w:lang w:val="pt-BR"/>
        </w:rPr>
        <w:t>March 2011</w:t>
      </w:r>
      <w:r w:rsidRPr="004F1F82">
        <w:rPr>
          <w:rStyle w:val="JuParaCar"/>
          <w:rFonts w:ascii="Arial" w:hAnsi="Arial" w:cs="Arial"/>
          <w:color w:val="000000"/>
          <w:sz w:val="20"/>
        </w:rPr>
        <w:t>).”). see also Y against EULEX, 15 November 2012, par 37 (“</w:t>
      </w:r>
      <w:r w:rsidRPr="004F1F82">
        <w:rPr>
          <w:rFonts w:ascii="Arial" w:hAnsi="Arial" w:cs="Arial"/>
          <w:sz w:val="20"/>
          <w:szCs w:val="20"/>
        </w:rPr>
        <w:t xml:space="preserve">The Panel reiterates that the first sentence of Article 2 enjoins the authorities not only to refrain from the intentional and unlawful taking of life, but also to take appropriate steps to safeguard the lives of those within its jurisdiction (see, among other authorities, </w:t>
      </w:r>
      <w:r w:rsidRPr="004F1F82">
        <w:rPr>
          <w:rFonts w:ascii="Arial" w:hAnsi="Arial" w:cs="Arial"/>
          <w:i/>
          <w:sz w:val="20"/>
          <w:szCs w:val="20"/>
        </w:rPr>
        <w:t>L.C.B. v. the United Kingdom</w:t>
      </w:r>
      <w:r w:rsidRPr="004F1F82">
        <w:rPr>
          <w:rFonts w:ascii="Arial" w:hAnsi="Arial" w:cs="Arial"/>
          <w:sz w:val="20"/>
          <w:szCs w:val="20"/>
        </w:rPr>
        <w:t>, 9 June 1998, par. 36, Reports of Judgments and Decisions 1998-III).”).</w:t>
      </w:r>
    </w:p>
  </w:footnote>
  <w:footnote w:id="11">
    <w:p w14:paraId="506189C1" w14:textId="5CA14D5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generally, </w:t>
      </w:r>
      <w:r w:rsidRPr="004F1F82">
        <w:rPr>
          <w:rFonts w:ascii="Arial" w:hAnsi="Arial" w:cs="Arial"/>
          <w:i/>
          <w:sz w:val="20"/>
          <w:szCs w:val="20"/>
        </w:rPr>
        <w:t>L.O. against EULEX</w:t>
      </w:r>
      <w:r w:rsidRPr="004F1F82">
        <w:rPr>
          <w:rFonts w:ascii="Arial" w:hAnsi="Arial" w:cs="Arial"/>
          <w:sz w:val="20"/>
          <w:szCs w:val="20"/>
        </w:rPr>
        <w:t xml:space="preserve">, 11 November 2015, pars 58 </w:t>
      </w:r>
      <w:r w:rsidRPr="004F1F82">
        <w:rPr>
          <w:rFonts w:ascii="Arial" w:hAnsi="Arial" w:cs="Arial"/>
          <w:i/>
          <w:sz w:val="20"/>
          <w:szCs w:val="20"/>
        </w:rPr>
        <w:t xml:space="preserve">et </w:t>
      </w:r>
      <w:proofErr w:type="spellStart"/>
      <w:r w:rsidRPr="004F1F82">
        <w:rPr>
          <w:rFonts w:ascii="Arial" w:hAnsi="Arial" w:cs="Arial"/>
          <w:i/>
          <w:sz w:val="20"/>
          <w:szCs w:val="20"/>
        </w:rPr>
        <w:t>seq</w:t>
      </w:r>
      <w:proofErr w:type="spellEnd"/>
      <w:r w:rsidRPr="004F1F82">
        <w:rPr>
          <w:rFonts w:ascii="Arial" w:hAnsi="Arial" w:cs="Arial"/>
          <w:sz w:val="20"/>
          <w:szCs w:val="20"/>
        </w:rPr>
        <w:t xml:space="preserve">; </w:t>
      </w:r>
      <w:proofErr w:type="spellStart"/>
      <w:r w:rsidRPr="004F1F82">
        <w:rPr>
          <w:rFonts w:ascii="Arial" w:hAnsi="Arial" w:cs="Arial"/>
          <w:i/>
          <w:sz w:val="20"/>
          <w:szCs w:val="20"/>
        </w:rPr>
        <w:t>Thaqi</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14 September 2011, pars 68-70. </w:t>
      </w:r>
    </w:p>
  </w:footnote>
  <w:footnote w:id="12">
    <w:p w14:paraId="2D4111A2" w14:textId="5B8F92C8"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Thaqi</w:t>
      </w:r>
      <w:proofErr w:type="spellEnd"/>
      <w:r w:rsidRPr="004F1F82">
        <w:rPr>
          <w:rFonts w:ascii="Arial" w:hAnsi="Arial" w:cs="Arial"/>
          <w:i/>
          <w:sz w:val="20"/>
          <w:szCs w:val="20"/>
        </w:rPr>
        <w:t xml:space="preserve"> against EULEX</w:t>
      </w:r>
      <w:r w:rsidRPr="004F1F82">
        <w:rPr>
          <w:rFonts w:ascii="Arial" w:hAnsi="Arial" w:cs="Arial"/>
          <w:sz w:val="20"/>
          <w:szCs w:val="20"/>
        </w:rPr>
        <w:t>, 14 September 2011, par 70.</w:t>
      </w:r>
    </w:p>
  </w:footnote>
  <w:footnote w:id="13">
    <w:p w14:paraId="6E8E3F93" w14:textId="4843C6CC"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Thaqi</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14 September 2011, par 69, referring to: </w:t>
      </w:r>
      <w:r w:rsidRPr="004F1F82">
        <w:rPr>
          <w:rFonts w:ascii="Arial" w:hAnsi="Arial" w:cs="Arial"/>
          <w:color w:val="000000"/>
          <w:sz w:val="20"/>
          <w:szCs w:val="20"/>
        </w:rPr>
        <w:t xml:space="preserve">see </w:t>
      </w:r>
      <w:proofErr w:type="spellStart"/>
      <w:r w:rsidRPr="004F1F82">
        <w:rPr>
          <w:rStyle w:val="ju-005fpara-002cleft-002cfirst-0020line-003a-0020-00200-0020cm--char"/>
          <w:rFonts w:ascii="Arial" w:hAnsi="Arial" w:cs="Arial"/>
          <w:i/>
          <w:iCs/>
          <w:color w:val="000000"/>
          <w:sz w:val="20"/>
          <w:szCs w:val="20"/>
        </w:rPr>
        <w:t>Calvelli</w:t>
      </w:r>
      <w:proofErr w:type="spellEnd"/>
      <w:r w:rsidRPr="004F1F82">
        <w:rPr>
          <w:rStyle w:val="ju-005fpara-002cleft-002cfirst-0020line-003a-0020-00200-0020cm--char"/>
          <w:rFonts w:ascii="Arial" w:hAnsi="Arial" w:cs="Arial"/>
          <w:i/>
          <w:iCs/>
          <w:color w:val="000000"/>
          <w:sz w:val="20"/>
          <w:szCs w:val="20"/>
        </w:rPr>
        <w:t xml:space="preserve"> and </w:t>
      </w:r>
      <w:proofErr w:type="spellStart"/>
      <w:r w:rsidRPr="004F1F82">
        <w:rPr>
          <w:rStyle w:val="ju-005fpara-002cleft-002cfirst-0020line-003a-0020-00200-0020cm--char"/>
          <w:rFonts w:ascii="Arial" w:hAnsi="Arial" w:cs="Arial"/>
          <w:i/>
          <w:iCs/>
          <w:color w:val="000000"/>
          <w:sz w:val="20"/>
          <w:szCs w:val="20"/>
        </w:rPr>
        <w:t>Ciglio</w:t>
      </w:r>
      <w:proofErr w:type="spellEnd"/>
      <w:r w:rsidRPr="004F1F82">
        <w:rPr>
          <w:rStyle w:val="ju-005fpara-002cleft-002cfirst-0020line-003a-0020-00200-0020cm--char"/>
          <w:rFonts w:ascii="Arial" w:hAnsi="Arial" w:cs="Arial"/>
          <w:i/>
          <w:iCs/>
          <w:color w:val="000000"/>
          <w:sz w:val="20"/>
          <w:szCs w:val="20"/>
        </w:rPr>
        <w:t xml:space="preserve"> v. Italy</w:t>
      </w:r>
      <w:r w:rsidRPr="004F1F82">
        <w:rPr>
          <w:rFonts w:ascii="Arial" w:hAnsi="Arial" w:cs="Arial"/>
          <w:color w:val="000000"/>
          <w:sz w:val="20"/>
          <w:szCs w:val="20"/>
        </w:rPr>
        <w:t xml:space="preserve"> [GC], no. 32967/96, § 49, ECHR 2002-I; </w:t>
      </w:r>
      <w:r w:rsidRPr="004F1F82">
        <w:rPr>
          <w:rStyle w:val="ju-005fpara-002cleft-002cfirst-0020line-003a-0020-00200-0020cm--char"/>
          <w:rFonts w:ascii="Arial" w:hAnsi="Arial" w:cs="Arial"/>
          <w:i/>
          <w:iCs/>
          <w:color w:val="000000"/>
          <w:sz w:val="20"/>
          <w:szCs w:val="20"/>
        </w:rPr>
        <w:t>Vo v. France</w:t>
      </w:r>
      <w:r w:rsidRPr="004F1F82">
        <w:rPr>
          <w:rFonts w:ascii="Arial" w:hAnsi="Arial" w:cs="Arial"/>
          <w:color w:val="000000"/>
          <w:sz w:val="20"/>
          <w:szCs w:val="20"/>
        </w:rPr>
        <w:t xml:space="preserve"> [GC], no. 53924/00, § 89, ECHR 2004-VIII; and </w:t>
      </w:r>
      <w:proofErr w:type="spellStart"/>
      <w:r w:rsidRPr="004F1F82">
        <w:rPr>
          <w:rStyle w:val="ju-005fpara-002cleft-002cfirst-0020line-003a-0020-00200-0020cm--char"/>
          <w:rFonts w:ascii="Arial" w:hAnsi="Arial" w:cs="Arial"/>
          <w:i/>
          <w:iCs/>
          <w:color w:val="000000"/>
          <w:sz w:val="20"/>
          <w:szCs w:val="20"/>
        </w:rPr>
        <w:t>Šilih</w:t>
      </w:r>
      <w:proofErr w:type="spellEnd"/>
      <w:r w:rsidRPr="004F1F82">
        <w:rPr>
          <w:rStyle w:val="ju-005fpara-002cleft-002cfirst-0020line-003a-0020-00200-0020cm--char"/>
          <w:rFonts w:ascii="Arial" w:hAnsi="Arial" w:cs="Arial"/>
          <w:i/>
          <w:iCs/>
          <w:color w:val="000000"/>
          <w:sz w:val="20"/>
          <w:szCs w:val="20"/>
        </w:rPr>
        <w:t xml:space="preserve"> v. Slovenia</w:t>
      </w:r>
      <w:r w:rsidRPr="004F1F82">
        <w:rPr>
          <w:rFonts w:ascii="Arial" w:hAnsi="Arial" w:cs="Arial"/>
          <w:color w:val="000000"/>
          <w:sz w:val="20"/>
          <w:szCs w:val="20"/>
        </w:rPr>
        <w:t xml:space="preserve"> [GC], no. 71463/01, § 192, 9 April 2009; </w:t>
      </w:r>
      <w:bookmarkStart w:id="12" w:name="HIT1"/>
      <w:bookmarkEnd w:id="12"/>
      <w:proofErr w:type="spellStart"/>
      <w:r w:rsidRPr="004F1F82">
        <w:rPr>
          <w:rStyle w:val="ju-005fpara-002cleft-002cfirst-0020line-003a-0020-00200-0020cm--char"/>
          <w:rFonts w:ascii="Arial" w:hAnsi="Arial" w:cs="Arial"/>
          <w:bCs/>
          <w:i/>
          <w:iCs/>
          <w:color w:val="000000"/>
          <w:sz w:val="20"/>
          <w:szCs w:val="20"/>
        </w:rPr>
        <w:t>Rajkowska</w:t>
      </w:r>
      <w:proofErr w:type="spellEnd"/>
      <w:r w:rsidRPr="004F1F82">
        <w:rPr>
          <w:rStyle w:val="ju-005fpara-002cleft-002cfirst-0020line-003a-0020-00200-0020cm--char"/>
          <w:rFonts w:ascii="Arial" w:hAnsi="Arial" w:cs="Arial"/>
          <w:i/>
          <w:iCs/>
          <w:color w:val="000000"/>
          <w:sz w:val="20"/>
          <w:szCs w:val="20"/>
        </w:rPr>
        <w:t xml:space="preserve"> v. Poland</w:t>
      </w:r>
      <w:r w:rsidRPr="004F1F82">
        <w:rPr>
          <w:rFonts w:ascii="Arial" w:hAnsi="Arial" w:cs="Arial"/>
          <w:color w:val="000000"/>
          <w:sz w:val="20"/>
          <w:szCs w:val="20"/>
        </w:rPr>
        <w:t xml:space="preserve"> (</w:t>
      </w:r>
      <w:proofErr w:type="spellStart"/>
      <w:r w:rsidRPr="004F1F82">
        <w:rPr>
          <w:rFonts w:ascii="Arial" w:hAnsi="Arial" w:cs="Arial"/>
          <w:color w:val="000000"/>
          <w:sz w:val="20"/>
          <w:szCs w:val="20"/>
        </w:rPr>
        <w:t>dec.</w:t>
      </w:r>
      <w:proofErr w:type="spellEnd"/>
      <w:r w:rsidRPr="004F1F82">
        <w:rPr>
          <w:rFonts w:ascii="Arial" w:hAnsi="Arial" w:cs="Arial"/>
          <w:color w:val="000000"/>
          <w:sz w:val="20"/>
          <w:szCs w:val="20"/>
        </w:rPr>
        <w:t>), no. 37393/02, 27 November 2007.</w:t>
      </w:r>
    </w:p>
  </w:footnote>
  <w:footnote w:id="14">
    <w:p w14:paraId="26BF0154" w14:textId="183A7036"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Thaqi</w:t>
      </w:r>
      <w:proofErr w:type="spellEnd"/>
      <w:r w:rsidRPr="004F1F82">
        <w:rPr>
          <w:rFonts w:ascii="Arial" w:hAnsi="Arial" w:cs="Arial"/>
          <w:i/>
          <w:sz w:val="20"/>
          <w:szCs w:val="20"/>
        </w:rPr>
        <w:t xml:space="preserve"> against EULEX</w:t>
      </w:r>
      <w:r w:rsidRPr="004F1F82">
        <w:rPr>
          <w:rFonts w:ascii="Arial" w:hAnsi="Arial" w:cs="Arial"/>
          <w:sz w:val="20"/>
          <w:szCs w:val="20"/>
        </w:rPr>
        <w:t>, 14 September 2011, par 69, referring to:</w:t>
      </w:r>
      <w:r w:rsidRPr="004F1F82">
        <w:rPr>
          <w:rFonts w:ascii="Arial" w:hAnsi="Arial" w:cs="Arial"/>
          <w:color w:val="000000"/>
          <w:sz w:val="20"/>
          <w:szCs w:val="20"/>
        </w:rPr>
        <w:t xml:space="preserve"> </w:t>
      </w:r>
      <w:proofErr w:type="spellStart"/>
      <w:r w:rsidRPr="004F1F82">
        <w:rPr>
          <w:rStyle w:val="ju-005fpara-002cleft-002cfirst-0020line-003a-0020-00200-0020cm--char"/>
          <w:rFonts w:ascii="Arial" w:hAnsi="Arial" w:cs="Arial"/>
          <w:i/>
          <w:iCs/>
          <w:color w:val="000000"/>
          <w:sz w:val="20"/>
          <w:szCs w:val="20"/>
        </w:rPr>
        <w:t>Zavoloka</w:t>
      </w:r>
      <w:proofErr w:type="spellEnd"/>
      <w:r w:rsidRPr="004F1F82">
        <w:rPr>
          <w:rStyle w:val="ju-005fpara-002cleft-002cfirst-0020line-003a-0020-00200-0020cm--char"/>
          <w:rFonts w:ascii="Arial" w:hAnsi="Arial" w:cs="Arial"/>
          <w:i/>
          <w:iCs/>
          <w:color w:val="000000"/>
          <w:sz w:val="20"/>
          <w:szCs w:val="20"/>
        </w:rPr>
        <w:t xml:space="preserve"> v. Latvia</w:t>
      </w:r>
      <w:r w:rsidRPr="004F1F82">
        <w:rPr>
          <w:rFonts w:ascii="Arial" w:hAnsi="Arial" w:cs="Arial"/>
          <w:color w:val="000000"/>
          <w:sz w:val="20"/>
          <w:szCs w:val="20"/>
        </w:rPr>
        <w:t>, no. 58447/00, § 34, 7 July 2009.</w:t>
      </w:r>
    </w:p>
  </w:footnote>
  <w:footnote w:id="15">
    <w:p w14:paraId="497D1FCC" w14:textId="7D2D79E9"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w:t>
      </w:r>
      <w:r w:rsidRPr="004F1F82">
        <w:rPr>
          <w:rFonts w:ascii="Arial" w:hAnsi="Arial" w:cs="Arial"/>
          <w:i/>
          <w:sz w:val="20"/>
          <w:szCs w:val="20"/>
        </w:rPr>
        <w:t>W against EULEX</w:t>
      </w:r>
      <w:r w:rsidRPr="004F1F82">
        <w:rPr>
          <w:rFonts w:ascii="Arial" w:hAnsi="Arial" w:cs="Arial"/>
          <w:sz w:val="20"/>
          <w:szCs w:val="20"/>
        </w:rPr>
        <w:t>, 5 October 2012, par 30.</w:t>
      </w:r>
    </w:p>
  </w:footnote>
  <w:footnote w:id="16">
    <w:p w14:paraId="6FE6FD02" w14:textId="7E628971"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Torture is also now recognized as a crime under customary international law and comes within the jurisdiction of various international criminal tribunals, including the International Criminal Court. </w:t>
      </w:r>
    </w:p>
  </w:footnote>
  <w:footnote w:id="17">
    <w:p w14:paraId="3123FF9E" w14:textId="4D463ECA"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W against EULEX</w:t>
      </w:r>
      <w:r w:rsidRPr="004F1F82">
        <w:rPr>
          <w:rFonts w:ascii="Arial" w:hAnsi="Arial" w:cs="Arial"/>
          <w:sz w:val="20"/>
          <w:szCs w:val="20"/>
        </w:rPr>
        <w:t xml:space="preserve">, 10 April 2013, par 36; </w:t>
      </w:r>
      <w:proofErr w:type="spellStart"/>
      <w:r w:rsidRPr="004F1F82">
        <w:rPr>
          <w:rFonts w:ascii="Arial" w:hAnsi="Arial" w:cs="Arial"/>
          <w:i/>
          <w:sz w:val="20"/>
          <w:szCs w:val="20"/>
        </w:rPr>
        <w:t>Krasniqi</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30 August 2013, par 11 (“In any event, concerning the substance of the complaint, the Panel notes that ill-treatment must attain a minimum level of severity if it is to fall within the scope of Article 3 (see, among many other authorities, </w:t>
      </w:r>
      <w:r w:rsidRPr="004F1F82">
        <w:rPr>
          <w:rFonts w:ascii="Arial" w:hAnsi="Arial" w:cs="Arial"/>
          <w:i/>
          <w:sz w:val="20"/>
          <w:szCs w:val="20"/>
        </w:rPr>
        <w:t>Ireland v. the United Kingdom</w:t>
      </w:r>
      <w:r w:rsidRPr="004F1F82">
        <w:rPr>
          <w:rFonts w:ascii="Arial" w:hAnsi="Arial" w:cs="Arial"/>
          <w:sz w:val="20"/>
          <w:szCs w:val="20"/>
        </w:rPr>
        <w:t xml:space="preserve"> judgment of 18 January 1978, Series A no. 25, p. 65, § 162, or, </w:t>
      </w:r>
      <w:proofErr w:type="spellStart"/>
      <w:r w:rsidRPr="004F1F82">
        <w:rPr>
          <w:rFonts w:ascii="Arial" w:hAnsi="Arial" w:cs="Arial"/>
          <w:i/>
          <w:sz w:val="20"/>
          <w:szCs w:val="20"/>
        </w:rPr>
        <w:t>Iwańczuk</w:t>
      </w:r>
      <w:proofErr w:type="spellEnd"/>
      <w:r w:rsidRPr="004F1F82">
        <w:rPr>
          <w:rFonts w:ascii="Arial" w:hAnsi="Arial" w:cs="Arial"/>
          <w:i/>
          <w:sz w:val="20"/>
          <w:szCs w:val="20"/>
        </w:rPr>
        <w:t xml:space="preserve"> v. Poland</w:t>
      </w:r>
      <w:r w:rsidRPr="004F1F82">
        <w:rPr>
          <w:rFonts w:ascii="Arial" w:hAnsi="Arial" w:cs="Arial"/>
          <w:sz w:val="20"/>
          <w:szCs w:val="20"/>
        </w:rPr>
        <w:t xml:space="preserve">, no. 25196/94, § 50, 15 November 2001).”); </w:t>
      </w:r>
      <w:proofErr w:type="spellStart"/>
      <w:r w:rsidRPr="004F1F82">
        <w:rPr>
          <w:rFonts w:ascii="Arial" w:hAnsi="Arial" w:cs="Arial"/>
          <w:i/>
          <w:sz w:val="20"/>
          <w:szCs w:val="20"/>
        </w:rPr>
        <w:t>Halili</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15 January 2013, par 27 (“In any event, the Panel further observes that ill-treatment must attain a minimum level of severity if it is to fall within the scope of Article 3 (ECHR, Ireland v. the United Kingdom judgment of 18 January 1978, Series A no. 25, p. 65, § 162, or, among many other authorities, </w:t>
      </w:r>
      <w:proofErr w:type="spellStart"/>
      <w:r w:rsidRPr="004F1F82">
        <w:rPr>
          <w:rFonts w:ascii="Arial" w:hAnsi="Arial" w:cs="Arial"/>
          <w:i/>
          <w:sz w:val="20"/>
          <w:szCs w:val="20"/>
        </w:rPr>
        <w:t>Iwańczuk</w:t>
      </w:r>
      <w:proofErr w:type="spellEnd"/>
      <w:r w:rsidRPr="004F1F82">
        <w:rPr>
          <w:rFonts w:ascii="Arial" w:hAnsi="Arial" w:cs="Arial"/>
          <w:i/>
          <w:sz w:val="20"/>
          <w:szCs w:val="20"/>
        </w:rPr>
        <w:t xml:space="preserve"> v. Poland</w:t>
      </w:r>
      <w:r w:rsidRPr="004F1F82">
        <w:rPr>
          <w:rFonts w:ascii="Arial" w:hAnsi="Arial" w:cs="Arial"/>
          <w:sz w:val="20"/>
          <w:szCs w:val="20"/>
        </w:rPr>
        <w:t>, no. 25196/94, § 50, 15 November 2001).”).</w:t>
      </w:r>
    </w:p>
  </w:footnote>
  <w:footnote w:id="18">
    <w:p w14:paraId="28E7A6B0" w14:textId="561A2476" w:rsidR="00E37AA9" w:rsidRPr="004F1F82" w:rsidRDefault="00E37AA9" w:rsidP="004F1F82">
      <w:pPr>
        <w:jc w:val="both"/>
        <w:rPr>
          <w:rFonts w:ascii="Arial" w:hAnsi="Arial" w:cs="Arial"/>
          <w:sz w:val="20"/>
          <w:szCs w:val="20"/>
          <w:lang w:val="en-GB"/>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W against EULEX</w:t>
      </w:r>
      <w:r w:rsidRPr="004F1F82">
        <w:rPr>
          <w:rFonts w:ascii="Arial" w:hAnsi="Arial" w:cs="Arial"/>
          <w:sz w:val="20"/>
          <w:szCs w:val="20"/>
        </w:rPr>
        <w:t xml:space="preserve">, 10 April 2013, par 37 (“Whilst the complainant was unable to provide concrete evidence of actual harm being done or threats being made against him or his family, the risk that this could occur demonstrate that EULEX should take prompt and effective steps to ensure that such a risk does not </w:t>
      </w:r>
      <w:proofErr w:type="spellStart"/>
      <w:r w:rsidRPr="004F1F82">
        <w:rPr>
          <w:rFonts w:ascii="Arial" w:hAnsi="Arial" w:cs="Arial"/>
          <w:sz w:val="20"/>
          <w:szCs w:val="20"/>
        </w:rPr>
        <w:t>materialise</w:t>
      </w:r>
      <w:proofErr w:type="spellEnd"/>
      <w:r w:rsidRPr="004F1F82">
        <w:rPr>
          <w:rFonts w:ascii="Arial" w:hAnsi="Arial" w:cs="Arial"/>
          <w:sz w:val="20"/>
          <w:szCs w:val="20"/>
        </w:rPr>
        <w:t>.”)</w:t>
      </w:r>
    </w:p>
  </w:footnote>
  <w:footnote w:id="19">
    <w:p w14:paraId="6AA59ABE" w14:textId="2C61EFBA"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Krasniqi</w:t>
      </w:r>
      <w:proofErr w:type="spellEnd"/>
      <w:r w:rsidRPr="004F1F82">
        <w:rPr>
          <w:rFonts w:ascii="Arial" w:hAnsi="Arial" w:cs="Arial"/>
          <w:i/>
          <w:sz w:val="20"/>
          <w:szCs w:val="20"/>
        </w:rPr>
        <w:t xml:space="preserve"> against EULEX</w:t>
      </w:r>
      <w:r w:rsidRPr="004F1F82">
        <w:rPr>
          <w:rFonts w:ascii="Arial" w:hAnsi="Arial" w:cs="Arial"/>
          <w:sz w:val="20"/>
          <w:szCs w:val="20"/>
        </w:rPr>
        <w:t>, 30 August 2013, pars 12-13:</w:t>
      </w:r>
    </w:p>
    <w:p w14:paraId="671DC615" w14:textId="1E104693" w:rsidR="00E37AA9" w:rsidRPr="004F1F82" w:rsidRDefault="00E37AA9" w:rsidP="004F1F82">
      <w:pPr>
        <w:suppressAutoHyphens/>
        <w:autoSpaceDE w:val="0"/>
        <w:ind w:left="567"/>
        <w:jc w:val="both"/>
        <w:rPr>
          <w:rFonts w:ascii="Arial" w:hAnsi="Arial" w:cs="Arial"/>
          <w:sz w:val="20"/>
          <w:szCs w:val="20"/>
        </w:rPr>
      </w:pPr>
      <w:r w:rsidRPr="004F1F82">
        <w:rPr>
          <w:rFonts w:ascii="Arial" w:hAnsi="Arial" w:cs="Arial"/>
          <w:sz w:val="20"/>
          <w:szCs w:val="20"/>
        </w:rPr>
        <w:t xml:space="preserve">“12.The complainant submits that he has been held in one cell with persons detained on remand. He fails to demonstrate how this would amount to the sort of ill-treatment foreseen in Article 3. As regards the alleged loss of the complainant’s personal belongings, the Panel is of a view that, although this could arguably have caused the complainant some distress, this incident cannot be said to have caused suffering which would amount to inhuman or degrading treatment or torture. Furthermore, the Panel has no information that this was done intentionally nor that the authorities, if seized of the matter, failed to act diligently and in timely fashion in addressing this matter. </w:t>
      </w:r>
    </w:p>
    <w:p w14:paraId="67D14F95" w14:textId="0612C1FA" w:rsidR="00E37AA9" w:rsidRPr="004F1F82" w:rsidRDefault="00E37AA9" w:rsidP="004F1F82">
      <w:pPr>
        <w:suppressAutoHyphens/>
        <w:autoSpaceDE w:val="0"/>
        <w:ind w:left="567"/>
        <w:jc w:val="both"/>
        <w:rPr>
          <w:rFonts w:ascii="Arial" w:hAnsi="Arial" w:cs="Arial"/>
          <w:sz w:val="20"/>
          <w:szCs w:val="20"/>
        </w:rPr>
      </w:pPr>
      <w:r w:rsidRPr="004F1F82">
        <w:rPr>
          <w:rFonts w:ascii="Arial" w:hAnsi="Arial" w:cs="Arial"/>
          <w:sz w:val="20"/>
          <w:szCs w:val="20"/>
        </w:rPr>
        <w:t>13.The Panel considers therefore that the complainant has not provided any evidence which would allow it to conclude that the treatment he complains of could constitute inhuman or degrading treatment or torture within the meaning of Article 3 of the European Convention. Based on the information available to the Panel, the complaints are therefore unfounded.”</w:t>
      </w:r>
    </w:p>
  </w:footnote>
  <w:footnote w:id="20">
    <w:p w14:paraId="78F1548C" w14:textId="2C3D828C"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Krasniqi</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30 August 2013, par 11, referring to: see, e.g., </w:t>
      </w:r>
      <w:r w:rsidRPr="004F1F82">
        <w:rPr>
          <w:rFonts w:ascii="Arial" w:hAnsi="Arial" w:cs="Arial"/>
          <w:i/>
          <w:sz w:val="20"/>
          <w:szCs w:val="20"/>
        </w:rPr>
        <w:t xml:space="preserve">El </w:t>
      </w:r>
      <w:proofErr w:type="spellStart"/>
      <w:r w:rsidRPr="004F1F82">
        <w:rPr>
          <w:rFonts w:ascii="Arial" w:hAnsi="Arial" w:cs="Arial"/>
          <w:i/>
          <w:sz w:val="20"/>
          <w:szCs w:val="20"/>
        </w:rPr>
        <w:t>Masri</w:t>
      </w:r>
      <w:proofErr w:type="spellEnd"/>
      <w:r w:rsidRPr="004F1F82">
        <w:rPr>
          <w:rFonts w:ascii="Arial" w:hAnsi="Arial" w:cs="Arial"/>
          <w:i/>
          <w:sz w:val="20"/>
          <w:szCs w:val="20"/>
        </w:rPr>
        <w:t xml:space="preserve"> v The Former Republic of Macedonia</w:t>
      </w:r>
      <w:r w:rsidRPr="004F1F82">
        <w:rPr>
          <w:rFonts w:ascii="Arial" w:hAnsi="Arial" w:cs="Arial"/>
          <w:sz w:val="20"/>
          <w:szCs w:val="20"/>
        </w:rPr>
        <w:t xml:space="preserve"> [GC], no. 39630/09, § 197, and authorities cited therein.</w:t>
      </w:r>
    </w:p>
  </w:footnote>
  <w:footnote w:id="21">
    <w:p w14:paraId="75E5A54B" w14:textId="20CBEF6F"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Halili</w:t>
      </w:r>
      <w:proofErr w:type="spellEnd"/>
      <w:r w:rsidRPr="004F1F82">
        <w:rPr>
          <w:rFonts w:ascii="Arial" w:hAnsi="Arial" w:cs="Arial"/>
          <w:i/>
          <w:sz w:val="20"/>
          <w:szCs w:val="20"/>
        </w:rPr>
        <w:t xml:space="preserve"> against EULEX</w:t>
      </w:r>
      <w:r w:rsidRPr="004F1F82">
        <w:rPr>
          <w:rFonts w:ascii="Arial" w:hAnsi="Arial" w:cs="Arial"/>
          <w:sz w:val="20"/>
          <w:szCs w:val="20"/>
        </w:rPr>
        <w:t>, 15 January 2013, par 27.</w:t>
      </w:r>
    </w:p>
  </w:footnote>
  <w:footnote w:id="22">
    <w:p w14:paraId="0E7376A7" w14:textId="18502F22"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Halili</w:t>
      </w:r>
      <w:proofErr w:type="spellEnd"/>
      <w:r w:rsidRPr="004F1F82">
        <w:rPr>
          <w:rFonts w:ascii="Arial" w:hAnsi="Arial" w:cs="Arial"/>
          <w:i/>
          <w:sz w:val="20"/>
          <w:szCs w:val="20"/>
        </w:rPr>
        <w:t xml:space="preserve"> against EULEX</w:t>
      </w:r>
      <w:r w:rsidRPr="004F1F82">
        <w:rPr>
          <w:rFonts w:ascii="Arial" w:hAnsi="Arial" w:cs="Arial"/>
          <w:sz w:val="20"/>
          <w:szCs w:val="20"/>
        </w:rPr>
        <w:t>, 15 January 2013, par 28.</w:t>
      </w:r>
    </w:p>
  </w:footnote>
  <w:footnote w:id="23">
    <w:p w14:paraId="790939B1" w14:textId="7777777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lang w:val="en-GB"/>
        </w:rPr>
        <w:t>Y against EULEX</w:t>
      </w:r>
      <w:r w:rsidRPr="004F1F82">
        <w:rPr>
          <w:rFonts w:ascii="Arial" w:hAnsi="Arial" w:cs="Arial"/>
          <w:sz w:val="20"/>
          <w:szCs w:val="20"/>
          <w:lang w:val="en-GB"/>
        </w:rPr>
        <w:t xml:space="preserve">, 15 November 2012, par 43, referring to: </w:t>
      </w:r>
      <w:r w:rsidRPr="004F1F82">
        <w:rPr>
          <w:rFonts w:ascii="Arial" w:hAnsi="Arial" w:cs="Arial"/>
          <w:i/>
          <w:sz w:val="20"/>
          <w:szCs w:val="20"/>
        </w:rPr>
        <w:t>X v. Ireland</w:t>
      </w:r>
      <w:r w:rsidRPr="004F1F82">
        <w:rPr>
          <w:rFonts w:ascii="Arial" w:hAnsi="Arial" w:cs="Arial"/>
          <w:sz w:val="20"/>
          <w:szCs w:val="20"/>
        </w:rPr>
        <w:t>, no. 6040/73, European Commission of Human Rights, decision of 20 July 1973.</w:t>
      </w:r>
    </w:p>
  </w:footnote>
  <w:footnote w:id="24">
    <w:p w14:paraId="71F73EF2" w14:textId="7777777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lang w:val="en-GB"/>
        </w:rPr>
        <w:t>Y against EULEX</w:t>
      </w:r>
      <w:r w:rsidRPr="004F1F82">
        <w:rPr>
          <w:rFonts w:ascii="Arial" w:hAnsi="Arial" w:cs="Arial"/>
          <w:sz w:val="20"/>
          <w:szCs w:val="20"/>
          <w:lang w:val="en-GB"/>
        </w:rPr>
        <w:t>, 15 November 2012, par 43</w:t>
      </w:r>
      <w:r w:rsidRPr="004F1F82">
        <w:rPr>
          <w:rFonts w:ascii="Arial" w:hAnsi="Arial" w:cs="Arial"/>
          <w:sz w:val="20"/>
          <w:szCs w:val="20"/>
        </w:rPr>
        <w:t xml:space="preserve">, referring to: see, e.g. </w:t>
      </w:r>
      <w:r w:rsidRPr="004F1F82">
        <w:rPr>
          <w:rFonts w:ascii="Arial" w:hAnsi="Arial" w:cs="Arial"/>
          <w:i/>
          <w:sz w:val="20"/>
          <w:szCs w:val="20"/>
        </w:rPr>
        <w:t xml:space="preserve">East African Asians v UK, </w:t>
      </w:r>
      <w:r w:rsidRPr="004F1F82">
        <w:rPr>
          <w:rFonts w:ascii="Arial" w:hAnsi="Arial" w:cs="Arial"/>
          <w:sz w:val="20"/>
          <w:szCs w:val="20"/>
        </w:rPr>
        <w:t xml:space="preserve">no. 4626/70 et al., Commission’s report of 14 December 1973, Decisions and Reports 78; </w:t>
      </w:r>
      <w:r w:rsidRPr="004F1F82">
        <w:rPr>
          <w:rFonts w:ascii="Arial" w:hAnsi="Arial" w:cs="Arial"/>
          <w:i/>
          <w:sz w:val="20"/>
          <w:szCs w:val="20"/>
        </w:rPr>
        <w:t>X v. UK</w:t>
      </w:r>
      <w:r w:rsidRPr="004F1F82">
        <w:rPr>
          <w:rFonts w:ascii="Arial" w:hAnsi="Arial" w:cs="Arial"/>
          <w:sz w:val="20"/>
          <w:szCs w:val="20"/>
        </w:rPr>
        <w:t>, no. 5877/72, European Commission of Human Rights decision of 12 October 1973.</w:t>
      </w:r>
    </w:p>
  </w:footnote>
  <w:footnote w:id="25">
    <w:p w14:paraId="673A809F" w14:textId="1E819D5A"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w:t>
      </w:r>
      <w:r w:rsidRPr="004F1F82">
        <w:rPr>
          <w:rFonts w:ascii="Arial" w:hAnsi="Arial" w:cs="Arial"/>
          <w:i/>
          <w:sz w:val="20"/>
          <w:szCs w:val="20"/>
        </w:rPr>
        <w:t>Z against EULEX</w:t>
      </w:r>
      <w:r w:rsidRPr="004F1F82">
        <w:rPr>
          <w:rFonts w:ascii="Arial" w:hAnsi="Arial" w:cs="Arial"/>
          <w:sz w:val="20"/>
          <w:szCs w:val="20"/>
        </w:rPr>
        <w:t xml:space="preserve">, 10 April 2013; </w:t>
      </w:r>
      <w:proofErr w:type="spellStart"/>
      <w:r w:rsidRPr="004F1F82">
        <w:rPr>
          <w:rFonts w:ascii="Arial" w:hAnsi="Arial" w:cs="Arial"/>
          <w:i/>
          <w:sz w:val="20"/>
          <w:szCs w:val="20"/>
        </w:rPr>
        <w:t>Martinovic</w:t>
      </w:r>
      <w:proofErr w:type="spellEnd"/>
      <w:r w:rsidRPr="004F1F82">
        <w:rPr>
          <w:rFonts w:ascii="Arial" w:hAnsi="Arial" w:cs="Arial"/>
          <w:i/>
          <w:sz w:val="20"/>
          <w:szCs w:val="20"/>
        </w:rPr>
        <w:t xml:space="preserve"> against EULEX</w:t>
      </w:r>
      <w:r w:rsidRPr="004F1F82">
        <w:rPr>
          <w:rFonts w:ascii="Arial" w:hAnsi="Arial" w:cs="Arial"/>
          <w:sz w:val="20"/>
          <w:szCs w:val="20"/>
        </w:rPr>
        <w:t>, 23 November 2011, pars 15-16.</w:t>
      </w:r>
    </w:p>
  </w:footnote>
  <w:footnote w:id="26">
    <w:p w14:paraId="33306A7E" w14:textId="1E759C11"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above. See also, for illustrations, </w:t>
      </w:r>
      <w:hyperlink r:id="rId1" w:history="1">
        <w:proofErr w:type="spellStart"/>
        <w:r w:rsidRPr="004F1F82">
          <w:rPr>
            <w:rStyle w:val="Hyperlink"/>
            <w:rFonts w:ascii="Arial" w:hAnsi="Arial" w:cs="Arial"/>
            <w:i/>
            <w:iCs/>
            <w:color w:val="auto"/>
            <w:sz w:val="20"/>
            <w:szCs w:val="20"/>
            <w:u w:val="none"/>
          </w:rPr>
          <w:t>Halili</w:t>
        </w:r>
        <w:proofErr w:type="spellEnd"/>
        <w:r w:rsidRPr="004F1F82">
          <w:rPr>
            <w:rStyle w:val="Hyperlink"/>
            <w:rFonts w:ascii="Arial" w:hAnsi="Arial" w:cs="Arial"/>
            <w:i/>
            <w:iCs/>
            <w:color w:val="auto"/>
            <w:sz w:val="20"/>
            <w:szCs w:val="20"/>
            <w:u w:val="none"/>
          </w:rPr>
          <w:t xml:space="preserve"> against EULEX</w:t>
        </w:r>
      </w:hyperlink>
      <w:r w:rsidRPr="004F1F82">
        <w:rPr>
          <w:rFonts w:ascii="Arial" w:hAnsi="Arial" w:cs="Arial"/>
          <w:sz w:val="20"/>
          <w:szCs w:val="20"/>
        </w:rPr>
        <w:t xml:space="preserve">, 15 January 2013, at pars 20-22; </w:t>
      </w:r>
      <w:hyperlink r:id="rId2" w:history="1">
        <w:proofErr w:type="spellStart"/>
        <w:r w:rsidRPr="004F1F82">
          <w:rPr>
            <w:rStyle w:val="Hyperlink"/>
            <w:rFonts w:ascii="Arial" w:hAnsi="Arial" w:cs="Arial"/>
            <w:i/>
            <w:iCs/>
            <w:color w:val="auto"/>
            <w:sz w:val="20"/>
            <w:szCs w:val="20"/>
            <w:u w:val="none"/>
          </w:rPr>
          <w:t>Dobruna</w:t>
        </w:r>
        <w:proofErr w:type="spellEnd"/>
        <w:r w:rsidRPr="004F1F82">
          <w:rPr>
            <w:rStyle w:val="Hyperlink"/>
            <w:rFonts w:ascii="Arial" w:hAnsi="Arial" w:cs="Arial"/>
            <w:i/>
            <w:iCs/>
            <w:color w:val="auto"/>
            <w:sz w:val="20"/>
            <w:szCs w:val="20"/>
            <w:u w:val="none"/>
          </w:rPr>
          <w:t xml:space="preserve"> against EULEX</w:t>
        </w:r>
      </w:hyperlink>
      <w:r w:rsidRPr="004F1F82">
        <w:rPr>
          <w:rFonts w:ascii="Arial" w:hAnsi="Arial" w:cs="Arial"/>
          <w:sz w:val="20"/>
          <w:szCs w:val="20"/>
        </w:rPr>
        <w:t xml:space="preserve">, 4 October 2012 at pars 11-12; </w:t>
      </w:r>
      <w:hyperlink r:id="rId3" w:history="1">
        <w:proofErr w:type="spellStart"/>
        <w:r w:rsidRPr="004F1F82">
          <w:rPr>
            <w:rStyle w:val="Hyperlink"/>
            <w:rFonts w:ascii="Arial" w:hAnsi="Arial" w:cs="Arial"/>
            <w:i/>
            <w:iCs/>
            <w:color w:val="auto"/>
            <w:sz w:val="20"/>
            <w:szCs w:val="20"/>
            <w:u w:val="none"/>
          </w:rPr>
          <w:t>Rexhepi</w:t>
        </w:r>
        <w:proofErr w:type="spellEnd"/>
        <w:r w:rsidRPr="004F1F82">
          <w:rPr>
            <w:rStyle w:val="Hyperlink"/>
            <w:rFonts w:ascii="Arial" w:hAnsi="Arial" w:cs="Arial"/>
            <w:i/>
            <w:iCs/>
            <w:color w:val="auto"/>
            <w:sz w:val="20"/>
            <w:szCs w:val="20"/>
            <w:u w:val="none"/>
          </w:rPr>
          <w:t xml:space="preserve"> against EULEX</w:t>
        </w:r>
      </w:hyperlink>
      <w:r w:rsidRPr="004F1F82">
        <w:rPr>
          <w:rStyle w:val="Emphasis"/>
          <w:rFonts w:ascii="Arial" w:hAnsi="Arial" w:cs="Arial"/>
          <w:sz w:val="20"/>
          <w:szCs w:val="20"/>
        </w:rPr>
        <w:t>, </w:t>
      </w:r>
      <w:r w:rsidRPr="004F1F82">
        <w:rPr>
          <w:rFonts w:ascii="Arial" w:hAnsi="Arial" w:cs="Arial"/>
          <w:sz w:val="20"/>
          <w:szCs w:val="20"/>
        </w:rPr>
        <w:t xml:space="preserve"> 20 March 2012 at pars 37-38. </w:t>
      </w:r>
    </w:p>
  </w:footnote>
  <w:footnote w:id="27">
    <w:p w14:paraId="146EB164" w14:textId="4FD4EA51"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Maksutaj</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12 November 2015, par 57, referring to: </w:t>
      </w:r>
      <w:proofErr w:type="spellStart"/>
      <w:r w:rsidRPr="004F1F82">
        <w:rPr>
          <w:rFonts w:ascii="Arial" w:hAnsi="Arial" w:cs="Arial"/>
          <w:sz w:val="20"/>
          <w:szCs w:val="20"/>
        </w:rPr>
        <w:t>Stogmuller</w:t>
      </w:r>
      <w:proofErr w:type="spellEnd"/>
      <w:r w:rsidRPr="004F1F82">
        <w:rPr>
          <w:rFonts w:ascii="Arial" w:hAnsi="Arial" w:cs="Arial"/>
          <w:sz w:val="20"/>
          <w:szCs w:val="20"/>
        </w:rPr>
        <w:t xml:space="preserve"> v Austria A 9 (1969) p.40; 1 EHHR 155, 191).</w:t>
      </w:r>
    </w:p>
  </w:footnote>
  <w:footnote w:id="28">
    <w:p w14:paraId="4691FBE1" w14:textId="397ABA4E"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Maksutaj</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12 November 2015, par 57, referring to: </w:t>
      </w:r>
      <w:proofErr w:type="spellStart"/>
      <w:r w:rsidRPr="004F1F82">
        <w:rPr>
          <w:rFonts w:ascii="Arial" w:hAnsi="Arial" w:cs="Arial"/>
          <w:sz w:val="20"/>
          <w:szCs w:val="20"/>
        </w:rPr>
        <w:t>Stogmuller</w:t>
      </w:r>
      <w:proofErr w:type="spellEnd"/>
      <w:r w:rsidRPr="004F1F82">
        <w:rPr>
          <w:rFonts w:ascii="Arial" w:hAnsi="Arial" w:cs="Arial"/>
          <w:sz w:val="20"/>
          <w:szCs w:val="20"/>
        </w:rPr>
        <w:t xml:space="preserve"> v Austria A 9 (1969) p.40; 1 EHHR 155, 191. </w:t>
      </w:r>
      <w:proofErr w:type="spellStart"/>
      <w:r w:rsidRPr="004F1F82">
        <w:rPr>
          <w:rFonts w:ascii="Arial" w:hAnsi="Arial" w:cs="Arial"/>
          <w:sz w:val="20"/>
          <w:szCs w:val="20"/>
        </w:rPr>
        <w:t>Cf</w:t>
      </w:r>
      <w:proofErr w:type="spellEnd"/>
      <w:r w:rsidRPr="004F1F82">
        <w:rPr>
          <w:rFonts w:ascii="Arial" w:hAnsi="Arial" w:cs="Arial"/>
          <w:sz w:val="20"/>
          <w:szCs w:val="20"/>
        </w:rPr>
        <w:t xml:space="preserve">, </w:t>
      </w:r>
      <w:proofErr w:type="spellStart"/>
      <w:r w:rsidRPr="004F1F82">
        <w:rPr>
          <w:rFonts w:ascii="Arial" w:hAnsi="Arial" w:cs="Arial"/>
          <w:sz w:val="20"/>
          <w:szCs w:val="20"/>
        </w:rPr>
        <w:t>Wemhoff</w:t>
      </w:r>
      <w:proofErr w:type="spellEnd"/>
      <w:r w:rsidRPr="004F1F82">
        <w:rPr>
          <w:rFonts w:ascii="Arial" w:hAnsi="Arial" w:cs="Arial"/>
          <w:sz w:val="20"/>
          <w:szCs w:val="20"/>
        </w:rPr>
        <w:t xml:space="preserve"> v FRG A 7 (1968); 1 EHRR 55.</w:t>
      </w:r>
    </w:p>
  </w:footnote>
  <w:footnote w:id="29">
    <w:p w14:paraId="5DED202E" w14:textId="5B29D940"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Maksutaj</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12 November 2015, par 58, referring to: </w:t>
      </w:r>
      <w:proofErr w:type="spellStart"/>
      <w:r w:rsidRPr="004F1F82">
        <w:rPr>
          <w:rFonts w:ascii="Arial" w:hAnsi="Arial" w:cs="Arial"/>
          <w:sz w:val="20"/>
          <w:szCs w:val="20"/>
        </w:rPr>
        <w:t>Konig</w:t>
      </w:r>
      <w:proofErr w:type="spellEnd"/>
      <w:r w:rsidRPr="004F1F82">
        <w:rPr>
          <w:rFonts w:ascii="Arial" w:hAnsi="Arial" w:cs="Arial"/>
          <w:sz w:val="20"/>
          <w:szCs w:val="20"/>
        </w:rPr>
        <w:t xml:space="preserve"> v FRG A 27 (1978); 2 EHRR 170 PC and Pedersen and </w:t>
      </w:r>
      <w:proofErr w:type="spellStart"/>
      <w:r w:rsidRPr="004F1F82">
        <w:rPr>
          <w:rFonts w:ascii="Arial" w:hAnsi="Arial" w:cs="Arial"/>
          <w:sz w:val="20"/>
          <w:szCs w:val="20"/>
        </w:rPr>
        <w:t>Baadsgaard</w:t>
      </w:r>
      <w:proofErr w:type="spellEnd"/>
      <w:r w:rsidRPr="004F1F82">
        <w:rPr>
          <w:rFonts w:ascii="Arial" w:hAnsi="Arial" w:cs="Arial"/>
          <w:sz w:val="20"/>
          <w:szCs w:val="20"/>
        </w:rPr>
        <w:t xml:space="preserve"> v Denmark 2004-XI; 42 EHHR 486 GC.</w:t>
      </w:r>
    </w:p>
  </w:footnote>
  <w:footnote w:id="30">
    <w:p w14:paraId="5B271882" w14:textId="1709D4D1"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Maksutaj</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12 November 2015, par 63. </w:t>
      </w:r>
    </w:p>
  </w:footnote>
  <w:footnote w:id="31">
    <w:p w14:paraId="1F616DF7" w14:textId="6FCC4A3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Maksutaj</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12 November 2015, par 64, referring to: </w:t>
      </w:r>
      <w:proofErr w:type="spellStart"/>
      <w:r w:rsidRPr="004F1F82">
        <w:rPr>
          <w:rFonts w:ascii="Arial" w:hAnsi="Arial" w:cs="Arial"/>
          <w:sz w:val="20"/>
          <w:szCs w:val="20"/>
        </w:rPr>
        <w:t>Frydlender</w:t>
      </w:r>
      <w:proofErr w:type="spellEnd"/>
      <w:r w:rsidRPr="004F1F82">
        <w:rPr>
          <w:rFonts w:ascii="Arial" w:hAnsi="Arial" w:cs="Arial"/>
          <w:sz w:val="20"/>
          <w:szCs w:val="20"/>
        </w:rPr>
        <w:t xml:space="preserve"> v France 2000-VII; 31 EHHR 1152 GC. </w:t>
      </w:r>
    </w:p>
  </w:footnote>
  <w:footnote w:id="32">
    <w:p w14:paraId="25A797C1" w14:textId="5444D90E"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Maksutaj</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12 November 2015, par 64, referring to: Buchholz v FRG A 42 (1981); 3 EHHR 597. </w:t>
      </w:r>
      <w:proofErr w:type="spellStart"/>
      <w:r w:rsidRPr="004F1F82">
        <w:rPr>
          <w:rFonts w:ascii="Arial" w:hAnsi="Arial" w:cs="Arial"/>
          <w:sz w:val="20"/>
          <w:szCs w:val="20"/>
        </w:rPr>
        <w:t>Eastaway</w:t>
      </w:r>
      <w:proofErr w:type="spellEnd"/>
      <w:r w:rsidRPr="004F1F82">
        <w:rPr>
          <w:rFonts w:ascii="Arial" w:hAnsi="Arial" w:cs="Arial"/>
          <w:sz w:val="20"/>
          <w:szCs w:val="20"/>
        </w:rPr>
        <w:t xml:space="preserve"> v UK (2004) (company director.</w:t>
      </w:r>
    </w:p>
  </w:footnote>
  <w:footnote w:id="33">
    <w:p w14:paraId="27796D69" w14:textId="7A165A41"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See also </w:t>
      </w:r>
      <w:proofErr w:type="spellStart"/>
      <w:r w:rsidRPr="004F1F82">
        <w:rPr>
          <w:rFonts w:ascii="Arial" w:hAnsi="Arial" w:cs="Arial"/>
          <w:sz w:val="20"/>
          <w:szCs w:val="20"/>
        </w:rPr>
        <w:t>Djeljalj</w:t>
      </w:r>
      <w:proofErr w:type="spellEnd"/>
      <w:r w:rsidRPr="004F1F82">
        <w:rPr>
          <w:rFonts w:ascii="Arial" w:hAnsi="Arial" w:cs="Arial"/>
          <w:sz w:val="20"/>
          <w:szCs w:val="20"/>
        </w:rPr>
        <w:t xml:space="preserve"> against EULEX, 8 April 2011, par 77. </w:t>
      </w:r>
    </w:p>
  </w:footnote>
  <w:footnote w:id="34">
    <w:p w14:paraId="484125E5" w14:textId="77777777" w:rsidR="00E37AA9" w:rsidRPr="004F1F82" w:rsidRDefault="00E37AA9" w:rsidP="004F1F82">
      <w:pPr>
        <w:jc w:val="both"/>
        <w:rPr>
          <w:rFonts w:ascii="Arial" w:hAnsi="Arial" w:cs="Arial"/>
          <w:sz w:val="20"/>
          <w:szCs w:val="20"/>
          <w:lang w:val="en-GB"/>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Djeljalj</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8 April 2011, par 77.</w:t>
      </w:r>
    </w:p>
  </w:footnote>
  <w:footnote w:id="35">
    <w:p w14:paraId="70E78644" w14:textId="0E7DD3EE"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Maksutaj</w:t>
      </w:r>
      <w:proofErr w:type="spellEnd"/>
      <w:r w:rsidRPr="004F1F82">
        <w:rPr>
          <w:rFonts w:ascii="Arial" w:hAnsi="Arial" w:cs="Arial"/>
          <w:i/>
          <w:sz w:val="20"/>
          <w:szCs w:val="20"/>
        </w:rPr>
        <w:t xml:space="preserve"> against EULEX</w:t>
      </w:r>
      <w:r w:rsidRPr="004F1F82">
        <w:rPr>
          <w:rFonts w:ascii="Arial" w:hAnsi="Arial" w:cs="Arial"/>
          <w:sz w:val="20"/>
          <w:szCs w:val="20"/>
        </w:rPr>
        <w:t>, 12 November 2015, par 60 (“In examining the reasonableness of the length of time taken to resolve this case, the Panel has not considered the initial period in which UNMIK was seized with the case. It has limited its consideration to the period of time when EULEX was responsible for the investigation of that case (from January 2009 to December 2014). The Panel notes, however, that the overall duration of the process against the complainant is relevant to evaluating the urgency with which the Mission acted in resolving this case.”).</w:t>
      </w:r>
    </w:p>
  </w:footnote>
  <w:footnote w:id="36">
    <w:p w14:paraId="1CBF79D1" w14:textId="182C3406" w:rsidR="00E37AA9" w:rsidRPr="004F1F82" w:rsidRDefault="00E37AA9" w:rsidP="004F1F82">
      <w:pPr>
        <w:jc w:val="both"/>
        <w:rPr>
          <w:rFonts w:ascii="Arial" w:hAnsi="Arial" w:cs="Arial"/>
          <w:sz w:val="20"/>
          <w:szCs w:val="20"/>
          <w:lang w:val="en-GB"/>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Rastelica</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27 May 2014, par 11. See also </w:t>
      </w:r>
      <w:proofErr w:type="spellStart"/>
      <w:r w:rsidRPr="004F1F82">
        <w:rPr>
          <w:rFonts w:ascii="Arial" w:hAnsi="Arial" w:cs="Arial"/>
          <w:i/>
          <w:sz w:val="20"/>
          <w:szCs w:val="20"/>
          <w:lang w:val="en-GB"/>
        </w:rPr>
        <w:t>Asllani</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23 November 2011, pars 35-36 (referring to </w:t>
      </w:r>
      <w:r w:rsidRPr="004F1F82">
        <w:rPr>
          <w:rFonts w:ascii="Arial" w:hAnsi="Arial" w:cs="Arial"/>
          <w:sz w:val="20"/>
          <w:szCs w:val="20"/>
        </w:rPr>
        <w:t xml:space="preserve">ECHR, </w:t>
      </w:r>
      <w:r w:rsidRPr="004F1F82">
        <w:rPr>
          <w:rFonts w:ascii="Arial" w:hAnsi="Arial" w:cs="Arial"/>
          <w:i/>
          <w:sz w:val="20"/>
          <w:szCs w:val="20"/>
        </w:rPr>
        <w:t>Hornsby v. Greece</w:t>
      </w:r>
      <w:r w:rsidRPr="004F1F82">
        <w:rPr>
          <w:rFonts w:ascii="Arial" w:hAnsi="Arial" w:cs="Arial"/>
          <w:sz w:val="20"/>
          <w:szCs w:val="20"/>
        </w:rPr>
        <w:t>, judgment of 19 March 1997, Reports 1997-II, p. 510, par 40).</w:t>
      </w:r>
    </w:p>
  </w:footnote>
  <w:footnote w:id="37">
    <w:p w14:paraId="6EF2106D" w14:textId="77777777"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Djeljalji</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8 April 2011, par 61 (“The Panel reiterates the case-law of the European Court of Human Rights to the effect that the right of access to a tribunal guaranteed by Article 6 § 1 of the Convention would be illusory if the domestic legal system allowed a final, binding judicial decision to remain inoperative to the detriment of one party. Execution of a judgment given by any court must therefore be regarded as an integral part of the “trial” for the purposes of Article 6 (see, inter alia, Hornsby v. Greece, judgment of 19 March 1997, Reports 1997-II, pp. 510-11, §§ 40 et seq.).”). </w:t>
      </w:r>
    </w:p>
  </w:footnote>
  <w:footnote w:id="38">
    <w:p w14:paraId="576D1C6F" w14:textId="6243CC8F"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w:t>
      </w:r>
      <w:proofErr w:type="spellStart"/>
      <w:r w:rsidRPr="004F1F82">
        <w:rPr>
          <w:rFonts w:ascii="Arial" w:hAnsi="Arial" w:cs="Arial"/>
          <w:i/>
          <w:sz w:val="20"/>
          <w:szCs w:val="20"/>
        </w:rPr>
        <w:t>Djeljalji</w:t>
      </w:r>
      <w:proofErr w:type="spellEnd"/>
      <w:r w:rsidRPr="004F1F82">
        <w:rPr>
          <w:rFonts w:ascii="Arial" w:hAnsi="Arial" w:cs="Arial"/>
          <w:i/>
          <w:sz w:val="20"/>
          <w:szCs w:val="20"/>
        </w:rPr>
        <w:t xml:space="preserve"> against EULEX</w:t>
      </w:r>
      <w:r w:rsidRPr="004F1F82">
        <w:rPr>
          <w:rFonts w:ascii="Arial" w:hAnsi="Arial" w:cs="Arial"/>
          <w:sz w:val="20"/>
          <w:szCs w:val="20"/>
        </w:rPr>
        <w:t>, 8 April 2011, pars 62, 73 and 76:</w:t>
      </w:r>
    </w:p>
    <w:p w14:paraId="0FE8AB77" w14:textId="77777777" w:rsidR="00E37AA9" w:rsidRPr="004F1F82" w:rsidRDefault="00E37AA9" w:rsidP="004F1F82">
      <w:pPr>
        <w:ind w:left="567"/>
        <w:jc w:val="both"/>
        <w:rPr>
          <w:rFonts w:ascii="Arial" w:hAnsi="Arial" w:cs="Arial"/>
          <w:sz w:val="20"/>
          <w:szCs w:val="20"/>
        </w:rPr>
      </w:pPr>
      <w:r w:rsidRPr="004F1F82">
        <w:rPr>
          <w:rFonts w:ascii="Arial" w:hAnsi="Arial" w:cs="Arial"/>
          <w:sz w:val="20"/>
          <w:szCs w:val="20"/>
        </w:rPr>
        <w:t xml:space="preserve">“62. The Panel considers that even though the problems encountered by the complainant are unfortunately rather common, especially in the </w:t>
      </w:r>
      <w:proofErr w:type="spellStart"/>
      <w:r w:rsidRPr="004F1F82">
        <w:rPr>
          <w:rFonts w:ascii="Arial" w:hAnsi="Arial" w:cs="Arial"/>
          <w:sz w:val="20"/>
          <w:szCs w:val="20"/>
        </w:rPr>
        <w:t>Mitrovicë</w:t>
      </w:r>
      <w:proofErr w:type="spellEnd"/>
      <w:r w:rsidRPr="004F1F82">
        <w:rPr>
          <w:rFonts w:ascii="Arial" w:hAnsi="Arial" w:cs="Arial"/>
          <w:sz w:val="20"/>
          <w:szCs w:val="20"/>
        </w:rPr>
        <w:t>/</w:t>
      </w:r>
      <w:proofErr w:type="spellStart"/>
      <w:r w:rsidRPr="004F1F82">
        <w:rPr>
          <w:rFonts w:ascii="Arial" w:hAnsi="Arial" w:cs="Arial"/>
          <w:sz w:val="20"/>
          <w:szCs w:val="20"/>
        </w:rPr>
        <w:t>Mitrovica</w:t>
      </w:r>
      <w:proofErr w:type="spellEnd"/>
      <w:r w:rsidRPr="004F1F82">
        <w:rPr>
          <w:rFonts w:ascii="Arial" w:hAnsi="Arial" w:cs="Arial"/>
          <w:sz w:val="20"/>
          <w:szCs w:val="20"/>
        </w:rPr>
        <w:t xml:space="preserve"> region, this does not remove the duty to fulfill the criteria set out in Article 6 of the Convention in the determination of the complainant’s civil rights and obligations. </w:t>
      </w:r>
    </w:p>
    <w:p w14:paraId="6C069F3D" w14:textId="77777777" w:rsidR="00E37AA9" w:rsidRPr="004F1F82" w:rsidRDefault="00E37AA9" w:rsidP="004F1F82">
      <w:pPr>
        <w:ind w:left="567"/>
        <w:jc w:val="both"/>
        <w:rPr>
          <w:rFonts w:ascii="Arial" w:hAnsi="Arial" w:cs="Arial"/>
          <w:sz w:val="20"/>
          <w:szCs w:val="20"/>
        </w:rPr>
      </w:pPr>
      <w:r w:rsidRPr="004F1F82">
        <w:rPr>
          <w:rFonts w:ascii="Arial" w:hAnsi="Arial" w:cs="Arial"/>
          <w:sz w:val="20"/>
          <w:szCs w:val="20"/>
        </w:rPr>
        <w:t>[…]</w:t>
      </w:r>
    </w:p>
    <w:p w14:paraId="5517CB0A" w14:textId="77777777" w:rsidR="00E37AA9" w:rsidRPr="004F1F82" w:rsidRDefault="00E37AA9" w:rsidP="004F1F82">
      <w:pPr>
        <w:ind w:left="567"/>
        <w:jc w:val="both"/>
        <w:rPr>
          <w:rFonts w:ascii="Arial" w:hAnsi="Arial" w:cs="Arial"/>
          <w:sz w:val="20"/>
          <w:szCs w:val="20"/>
        </w:rPr>
      </w:pPr>
      <w:r w:rsidRPr="004F1F82">
        <w:rPr>
          <w:rFonts w:ascii="Arial" w:hAnsi="Arial" w:cs="Arial"/>
          <w:sz w:val="20"/>
          <w:szCs w:val="20"/>
        </w:rPr>
        <w:t xml:space="preserve">73. The Panel accepts the HOM’s statement that EULEX was informed about this case on 25 June 2009 when the complainant requested the EULEX prosecutor in </w:t>
      </w:r>
      <w:proofErr w:type="spellStart"/>
      <w:r w:rsidRPr="004F1F82">
        <w:rPr>
          <w:rFonts w:ascii="Arial" w:hAnsi="Arial" w:cs="Arial"/>
          <w:sz w:val="20"/>
          <w:szCs w:val="20"/>
        </w:rPr>
        <w:t>Mitrovicë</w:t>
      </w:r>
      <w:proofErr w:type="spellEnd"/>
      <w:r w:rsidRPr="004F1F82">
        <w:rPr>
          <w:rFonts w:ascii="Arial" w:hAnsi="Arial" w:cs="Arial"/>
          <w:sz w:val="20"/>
          <w:szCs w:val="20"/>
        </w:rPr>
        <w:t>/</w:t>
      </w:r>
      <w:proofErr w:type="spellStart"/>
      <w:r w:rsidRPr="004F1F82">
        <w:rPr>
          <w:rFonts w:ascii="Arial" w:hAnsi="Arial" w:cs="Arial"/>
          <w:sz w:val="20"/>
          <w:szCs w:val="20"/>
        </w:rPr>
        <w:t>Mitrovica</w:t>
      </w:r>
      <w:proofErr w:type="spellEnd"/>
      <w:r w:rsidRPr="004F1F82">
        <w:rPr>
          <w:rFonts w:ascii="Arial" w:hAnsi="Arial" w:cs="Arial"/>
          <w:sz w:val="20"/>
          <w:szCs w:val="20"/>
        </w:rPr>
        <w:t xml:space="preserve"> to take appropriate measures in order to have the legal situation of the property clarified, if need be, by way of criminal investigation and prosecution. </w:t>
      </w:r>
    </w:p>
    <w:p w14:paraId="0CD51D6C" w14:textId="77777777" w:rsidR="00E37AA9" w:rsidRPr="004F1F82" w:rsidRDefault="00E37AA9" w:rsidP="004F1F82">
      <w:pPr>
        <w:ind w:left="567"/>
        <w:jc w:val="both"/>
        <w:rPr>
          <w:rFonts w:ascii="Arial" w:hAnsi="Arial" w:cs="Arial"/>
          <w:sz w:val="20"/>
          <w:szCs w:val="20"/>
        </w:rPr>
      </w:pPr>
      <w:r w:rsidRPr="004F1F82">
        <w:rPr>
          <w:rFonts w:ascii="Arial" w:hAnsi="Arial" w:cs="Arial"/>
          <w:sz w:val="20"/>
          <w:szCs w:val="20"/>
        </w:rPr>
        <w:t>[…]</w:t>
      </w:r>
    </w:p>
    <w:p w14:paraId="66D66317" w14:textId="77777777" w:rsidR="00E37AA9" w:rsidRPr="004F1F82" w:rsidRDefault="00E37AA9" w:rsidP="004F1F82">
      <w:pPr>
        <w:pStyle w:val="FootnoteText"/>
        <w:ind w:left="567"/>
        <w:jc w:val="both"/>
        <w:rPr>
          <w:rFonts w:ascii="Arial" w:hAnsi="Arial" w:cs="Arial"/>
          <w:sz w:val="20"/>
          <w:szCs w:val="20"/>
        </w:rPr>
      </w:pPr>
      <w:r w:rsidRPr="004F1F82">
        <w:rPr>
          <w:rFonts w:ascii="Arial" w:hAnsi="Arial" w:cs="Arial"/>
          <w:sz w:val="20"/>
          <w:szCs w:val="20"/>
        </w:rPr>
        <w:t xml:space="preserve">76. The Panel, while appreciating the difficult situation in the courts in </w:t>
      </w:r>
      <w:proofErr w:type="spellStart"/>
      <w:r w:rsidRPr="004F1F82">
        <w:rPr>
          <w:rFonts w:ascii="Arial" w:hAnsi="Arial" w:cs="Arial"/>
          <w:sz w:val="20"/>
          <w:szCs w:val="20"/>
        </w:rPr>
        <w:t>Mitrovicë</w:t>
      </w:r>
      <w:proofErr w:type="spellEnd"/>
      <w:r w:rsidRPr="004F1F82">
        <w:rPr>
          <w:rFonts w:ascii="Arial" w:hAnsi="Arial" w:cs="Arial"/>
          <w:sz w:val="20"/>
          <w:szCs w:val="20"/>
        </w:rPr>
        <w:t>/</w:t>
      </w:r>
      <w:proofErr w:type="spellStart"/>
      <w:r w:rsidRPr="004F1F82">
        <w:rPr>
          <w:rFonts w:ascii="Arial" w:hAnsi="Arial" w:cs="Arial"/>
          <w:sz w:val="20"/>
          <w:szCs w:val="20"/>
        </w:rPr>
        <w:t>Mitrovica</w:t>
      </w:r>
      <w:proofErr w:type="spellEnd"/>
      <w:r w:rsidRPr="004F1F82">
        <w:rPr>
          <w:rFonts w:ascii="Arial" w:hAnsi="Arial" w:cs="Arial"/>
          <w:sz w:val="20"/>
          <w:szCs w:val="20"/>
        </w:rPr>
        <w:t>, concludes, however, that there has been a violation of the complainant’s right of access to a court under Article 6 § 1 of the Convention and a violation of his right to the peaceful enjoyment of his possessions guaranteed by Article 1 of Protocol No. 1 to the Convention.”</w:t>
      </w:r>
    </w:p>
  </w:footnote>
  <w:footnote w:id="39">
    <w:p w14:paraId="4EDDB1B5" w14:textId="07ADD464"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lang w:val="en-GB"/>
        </w:rPr>
        <w:t>Rudi against EULEX</w:t>
      </w:r>
      <w:r w:rsidRPr="004F1F82">
        <w:rPr>
          <w:rFonts w:ascii="Arial" w:hAnsi="Arial" w:cs="Arial"/>
          <w:sz w:val="20"/>
          <w:szCs w:val="20"/>
          <w:lang w:val="en-GB"/>
        </w:rPr>
        <w:t xml:space="preserve">, 8 June 2011, par 87, referring to: </w:t>
      </w:r>
      <w:proofErr w:type="spellStart"/>
      <w:r w:rsidRPr="004F1F82">
        <w:rPr>
          <w:rFonts w:ascii="Arial" w:hAnsi="Arial" w:cs="Arial"/>
          <w:sz w:val="20"/>
          <w:szCs w:val="20"/>
        </w:rPr>
        <w:t>Nowicky</w:t>
      </w:r>
      <w:proofErr w:type="spellEnd"/>
      <w:r w:rsidRPr="004F1F82">
        <w:rPr>
          <w:rFonts w:ascii="Arial" w:hAnsi="Arial" w:cs="Arial"/>
          <w:sz w:val="20"/>
          <w:szCs w:val="20"/>
        </w:rPr>
        <w:t xml:space="preserve"> v. Austria, no. 34983/02, § 41, 24 February 2005. </w:t>
      </w:r>
    </w:p>
  </w:footnote>
  <w:footnote w:id="40">
    <w:p w14:paraId="3F013CA1" w14:textId="26B212CF"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w:t>
      </w:r>
    </w:p>
  </w:footnote>
  <w:footnote w:id="41">
    <w:p w14:paraId="7C06E062" w14:textId="62FBA59C"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88.</w:t>
      </w:r>
    </w:p>
  </w:footnote>
  <w:footnote w:id="42">
    <w:p w14:paraId="0817D961" w14:textId="77777777" w:rsidR="00E37AA9" w:rsidRPr="004F1F82" w:rsidRDefault="00E37AA9" w:rsidP="004F1F82">
      <w:pPr>
        <w:jc w:val="both"/>
        <w:rPr>
          <w:rFonts w:ascii="Arial" w:hAnsi="Arial" w:cs="Arial"/>
          <w:sz w:val="20"/>
          <w:szCs w:val="20"/>
          <w:lang w:val="en-GB"/>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Djeljalj</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8 April 2011, pars 42-43: </w:t>
      </w:r>
    </w:p>
    <w:p w14:paraId="15FB0CD9" w14:textId="77777777" w:rsidR="00E37AA9" w:rsidRPr="004F1F82" w:rsidRDefault="00E37AA9" w:rsidP="004F1F82">
      <w:pPr>
        <w:ind w:left="567"/>
        <w:jc w:val="both"/>
        <w:rPr>
          <w:rFonts w:ascii="Arial" w:hAnsi="Arial" w:cs="Arial"/>
          <w:sz w:val="20"/>
          <w:szCs w:val="20"/>
        </w:rPr>
      </w:pPr>
      <w:r w:rsidRPr="004F1F82">
        <w:rPr>
          <w:rFonts w:ascii="Arial" w:hAnsi="Arial" w:cs="Arial"/>
          <w:sz w:val="20"/>
          <w:szCs w:val="20"/>
          <w:lang w:val="en-GB"/>
        </w:rPr>
        <w:t xml:space="preserve">“42. </w:t>
      </w:r>
      <w:r w:rsidRPr="004F1F82">
        <w:rPr>
          <w:rFonts w:ascii="Arial" w:hAnsi="Arial" w:cs="Arial"/>
          <w:sz w:val="20"/>
          <w:szCs w:val="20"/>
        </w:rPr>
        <w:t xml:space="preserve">With regard to criminal proceedings pending before the police or public prosecutor in </w:t>
      </w:r>
      <w:proofErr w:type="spellStart"/>
      <w:r w:rsidRPr="004F1F82">
        <w:rPr>
          <w:rFonts w:ascii="Arial" w:hAnsi="Arial" w:cs="Arial"/>
          <w:sz w:val="20"/>
          <w:szCs w:val="20"/>
        </w:rPr>
        <w:t>Prishtinë</w:t>
      </w:r>
      <w:proofErr w:type="spellEnd"/>
      <w:r w:rsidRPr="004F1F82">
        <w:rPr>
          <w:rFonts w:ascii="Arial" w:hAnsi="Arial" w:cs="Arial"/>
          <w:sz w:val="20"/>
          <w:szCs w:val="20"/>
        </w:rPr>
        <w:t>/</w:t>
      </w:r>
      <w:proofErr w:type="spellStart"/>
      <w:r w:rsidRPr="004F1F82">
        <w:rPr>
          <w:rFonts w:ascii="Arial" w:hAnsi="Arial" w:cs="Arial"/>
          <w:sz w:val="20"/>
          <w:szCs w:val="20"/>
        </w:rPr>
        <w:t>Priština</w:t>
      </w:r>
      <w:proofErr w:type="spellEnd"/>
      <w:r w:rsidRPr="004F1F82">
        <w:rPr>
          <w:rFonts w:ascii="Arial" w:hAnsi="Arial" w:cs="Arial"/>
          <w:sz w:val="20"/>
          <w:szCs w:val="20"/>
        </w:rPr>
        <w:t xml:space="preserve"> since 30 June 2008, the Panel notes that the guarantees of fair hearing enshrined in Article 6 of the European Convention for the Protection of Human Rights and Fundamental Freedoms (hereafter: Convention) do not apply to criminal proceedings in respect of the right to have third parties prosecuted or sentenced for a criminal offence (see Perez v. France [GC], no. 47287/99, §§ 57-72, ECHR 2004-I). </w:t>
      </w:r>
    </w:p>
    <w:p w14:paraId="525BBC55" w14:textId="3D85326B" w:rsidR="00E37AA9" w:rsidRPr="004F1F82" w:rsidRDefault="00E37AA9" w:rsidP="004F1F82">
      <w:pPr>
        <w:ind w:left="567"/>
        <w:jc w:val="both"/>
        <w:rPr>
          <w:rFonts w:ascii="Arial" w:hAnsi="Arial" w:cs="Arial"/>
          <w:sz w:val="20"/>
          <w:szCs w:val="20"/>
        </w:rPr>
      </w:pPr>
      <w:r w:rsidRPr="004F1F82">
        <w:rPr>
          <w:rFonts w:ascii="Arial" w:hAnsi="Arial" w:cs="Arial"/>
          <w:sz w:val="20"/>
          <w:szCs w:val="20"/>
        </w:rPr>
        <w:t>43. As in the present case the complainant wished to have criminal proceedings instituted against third parties, the Panel finds the complaints with regard to these proceedings inadmissible.”</w:t>
      </w:r>
    </w:p>
  </w:footnote>
  <w:footnote w:id="43">
    <w:p w14:paraId="0C6944A7" w14:textId="3DEFCA26"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w:t>
      </w:r>
      <w:proofErr w:type="spellStart"/>
      <w:r w:rsidRPr="004F1F82">
        <w:rPr>
          <w:rFonts w:ascii="Arial" w:hAnsi="Arial" w:cs="Arial"/>
          <w:i/>
          <w:sz w:val="20"/>
          <w:szCs w:val="20"/>
          <w:lang w:val="en-GB"/>
        </w:rPr>
        <w:t>Radunovic</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w:t>
      </w:r>
      <w:r w:rsidRPr="004F1F82">
        <w:rPr>
          <w:rFonts w:ascii="Arial" w:hAnsi="Arial" w:cs="Arial"/>
          <w:sz w:val="20"/>
          <w:szCs w:val="20"/>
        </w:rPr>
        <w:t xml:space="preserve">12 November 2015, par 18 (“The Panel recalls that the right of access to a court, namely the right to institute proceedings before the court, is, in principle, guaranteed by Article 6 of the Convention (see, among many other authorities, ECHR, Tolstoy </w:t>
      </w:r>
      <w:proofErr w:type="spellStart"/>
      <w:r w:rsidRPr="004F1F82">
        <w:rPr>
          <w:rFonts w:ascii="Arial" w:hAnsi="Arial" w:cs="Arial"/>
          <w:sz w:val="20"/>
          <w:szCs w:val="20"/>
        </w:rPr>
        <w:t>Miloslavsky</w:t>
      </w:r>
      <w:proofErr w:type="spellEnd"/>
      <w:r w:rsidRPr="004F1F82">
        <w:rPr>
          <w:rFonts w:ascii="Arial" w:hAnsi="Arial" w:cs="Arial"/>
          <w:sz w:val="20"/>
          <w:szCs w:val="20"/>
        </w:rPr>
        <w:t xml:space="preserve"> v UK, Series A, No 323, judgment of 13 July 1995, para. 59; Golder v. the United Kingdom, 21 February 1975, paras. 34-36, Series A no. 18; Z. and Others v. the United Kingdom [GC], no. 29392/95, paras. 91-93, ECHR 2001-V; and </w:t>
      </w:r>
      <w:proofErr w:type="spellStart"/>
      <w:r w:rsidRPr="004F1F82">
        <w:rPr>
          <w:rFonts w:ascii="Arial" w:hAnsi="Arial" w:cs="Arial"/>
          <w:sz w:val="20"/>
          <w:szCs w:val="20"/>
        </w:rPr>
        <w:t>Kreuz</w:t>
      </w:r>
      <w:proofErr w:type="spellEnd"/>
      <w:r w:rsidRPr="004F1F82">
        <w:rPr>
          <w:rFonts w:ascii="Arial" w:hAnsi="Arial" w:cs="Arial"/>
          <w:sz w:val="20"/>
          <w:szCs w:val="20"/>
        </w:rPr>
        <w:t xml:space="preserve"> v. Poland, no. 28249/95, para. 52, ECHR 2001).”</w:t>
      </w:r>
    </w:p>
  </w:footnote>
  <w:footnote w:id="44">
    <w:p w14:paraId="5D2C0BAE" w14:textId="3F8DAE67"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generally, </w:t>
      </w:r>
      <w:proofErr w:type="spellStart"/>
      <w:r w:rsidRPr="004F1F82">
        <w:rPr>
          <w:rFonts w:ascii="Arial" w:hAnsi="Arial" w:cs="Arial"/>
          <w:i/>
          <w:sz w:val="20"/>
          <w:szCs w:val="20"/>
          <w:lang w:val="en-GB"/>
        </w:rPr>
        <w:t>Ibrahimi</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w:t>
      </w:r>
      <w:r w:rsidRPr="004F1F82">
        <w:rPr>
          <w:rFonts w:ascii="Arial" w:hAnsi="Arial" w:cs="Arial"/>
          <w:sz w:val="20"/>
          <w:szCs w:val="20"/>
        </w:rPr>
        <w:t xml:space="preserve">21 April 2015, pars 25-27, in particular, par 25 (“The Panel recalls in this place that Article 6 § 1 embodies the “right to a court”, of which the right of access, that is, the right to institute proceedings before a court in civil matters, constitutes one aspect only; however, it is an aspect that makes it in fact possible to benefit from the further guarantees laid down in paragraph 1 of Article 6. The fair, public and expeditious characteristics of judicial proceedings are indeed of no value if such proceedings are not first initiated. And in civil matters one can scarcely conceive of the rule of law without there being a possibility of having access to the courts (see, among many other authorities, Golder v. the United Kingdom, 21 January 1975, §§ 34 in fine and 35-36, Series A no. 18; Z. and Others v. the United Kingdom [GC], no. 29392/95, §§ 91-93, ECHR 2001-V; and </w:t>
      </w:r>
      <w:proofErr w:type="spellStart"/>
      <w:r w:rsidRPr="004F1F82">
        <w:rPr>
          <w:rFonts w:ascii="Arial" w:hAnsi="Arial" w:cs="Arial"/>
          <w:sz w:val="20"/>
          <w:szCs w:val="20"/>
        </w:rPr>
        <w:t>Kreuz</w:t>
      </w:r>
      <w:proofErr w:type="spellEnd"/>
      <w:r w:rsidRPr="004F1F82">
        <w:rPr>
          <w:rFonts w:ascii="Arial" w:hAnsi="Arial" w:cs="Arial"/>
          <w:sz w:val="20"/>
          <w:szCs w:val="20"/>
        </w:rPr>
        <w:t xml:space="preserve"> v. Poland, no. 28249/95, § 52, ECHR 2001-VI).”).</w:t>
      </w:r>
    </w:p>
  </w:footnote>
  <w:footnote w:id="45">
    <w:p w14:paraId="396B723D" w14:textId="42DC7F35"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Radunovic</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w:t>
      </w:r>
      <w:r w:rsidRPr="004F1F82">
        <w:rPr>
          <w:rFonts w:ascii="Arial" w:hAnsi="Arial" w:cs="Arial"/>
          <w:sz w:val="20"/>
          <w:szCs w:val="20"/>
        </w:rPr>
        <w:t>12 November 2015, par 18.</w:t>
      </w:r>
    </w:p>
  </w:footnote>
  <w:footnote w:id="46">
    <w:p w14:paraId="50A7B70F" w14:textId="3B218930"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Ibid</w:t>
      </w:r>
      <w:r w:rsidRPr="004F1F82">
        <w:rPr>
          <w:rFonts w:ascii="Arial" w:hAnsi="Arial" w:cs="Arial"/>
          <w:sz w:val="20"/>
          <w:szCs w:val="20"/>
        </w:rPr>
        <w:t xml:space="preserve">. </w:t>
      </w:r>
    </w:p>
  </w:footnote>
  <w:footnote w:id="47">
    <w:p w14:paraId="0D5C2C12" w14:textId="4EF1CBD0"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Radunovic</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w:t>
      </w:r>
      <w:r w:rsidRPr="004F1F82">
        <w:rPr>
          <w:rFonts w:ascii="Arial" w:hAnsi="Arial" w:cs="Arial"/>
          <w:sz w:val="20"/>
          <w:szCs w:val="20"/>
        </w:rPr>
        <w:t xml:space="preserve">12 November 2015, par 18, referring to: Tolstoy </w:t>
      </w:r>
      <w:proofErr w:type="spellStart"/>
      <w:r w:rsidRPr="004F1F82">
        <w:rPr>
          <w:rFonts w:ascii="Arial" w:hAnsi="Arial" w:cs="Arial"/>
          <w:sz w:val="20"/>
          <w:szCs w:val="20"/>
        </w:rPr>
        <w:t>Miloslavsky</w:t>
      </w:r>
      <w:proofErr w:type="spellEnd"/>
      <w:r w:rsidRPr="004F1F82">
        <w:rPr>
          <w:rFonts w:ascii="Arial" w:hAnsi="Arial" w:cs="Arial"/>
          <w:sz w:val="20"/>
          <w:szCs w:val="20"/>
        </w:rPr>
        <w:t xml:space="preserve"> v UK, Series A, No 323.</w:t>
      </w:r>
    </w:p>
  </w:footnote>
  <w:footnote w:id="48">
    <w:p w14:paraId="4EB30AA6" w14:textId="53DDF647"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Ibrahimi</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w:t>
      </w:r>
      <w:r w:rsidRPr="004F1F82">
        <w:rPr>
          <w:rFonts w:ascii="Arial" w:hAnsi="Arial" w:cs="Arial"/>
          <w:sz w:val="20"/>
          <w:szCs w:val="20"/>
        </w:rPr>
        <w:t xml:space="preserve">21 April 2015, par 26 (“However, this right is not absolute and may be subject to limitations. Guaranteeing to litigants an effective right of access to a court for the determination of their “civil rights and obligations”, Article 6 § 1 leaves to the authorities a free choice of the means to be used towards this end. However, the limitations applied must not restrict or reduce the access afforded to the applicant in such a way or to such an extent that the very essence of that right was impaired (see </w:t>
      </w:r>
      <w:proofErr w:type="spellStart"/>
      <w:r w:rsidRPr="004F1F82">
        <w:rPr>
          <w:rFonts w:ascii="Arial" w:hAnsi="Arial" w:cs="Arial"/>
          <w:sz w:val="20"/>
          <w:szCs w:val="20"/>
        </w:rPr>
        <w:t>Kreuz</w:t>
      </w:r>
      <w:proofErr w:type="spellEnd"/>
      <w:r w:rsidRPr="004F1F82">
        <w:rPr>
          <w:rFonts w:ascii="Arial" w:hAnsi="Arial" w:cs="Arial"/>
          <w:sz w:val="20"/>
          <w:szCs w:val="20"/>
        </w:rPr>
        <w:t>, cited above, §§ 53-54).”).</w:t>
      </w:r>
    </w:p>
  </w:footnote>
  <w:footnote w:id="49">
    <w:p w14:paraId="64BB2E75" w14:textId="4D90AC3A"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Radunovic</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w:t>
      </w:r>
      <w:r w:rsidRPr="004F1F82">
        <w:rPr>
          <w:rFonts w:ascii="Arial" w:hAnsi="Arial" w:cs="Arial"/>
          <w:sz w:val="20"/>
          <w:szCs w:val="20"/>
        </w:rPr>
        <w:t xml:space="preserve">12 November 2015, par 19, referring to: </w:t>
      </w:r>
      <w:proofErr w:type="spellStart"/>
      <w:r w:rsidRPr="004F1F82">
        <w:rPr>
          <w:rFonts w:ascii="Arial" w:hAnsi="Arial" w:cs="Arial"/>
          <w:sz w:val="20"/>
          <w:szCs w:val="20"/>
        </w:rPr>
        <w:t>Stankov</w:t>
      </w:r>
      <w:proofErr w:type="spellEnd"/>
      <w:r w:rsidRPr="004F1F82">
        <w:rPr>
          <w:rFonts w:ascii="Arial" w:hAnsi="Arial" w:cs="Arial"/>
          <w:sz w:val="20"/>
          <w:szCs w:val="20"/>
        </w:rPr>
        <w:t xml:space="preserve"> v. Bulgaria, no. 68490/01, para. 52.</w:t>
      </w:r>
    </w:p>
  </w:footnote>
  <w:footnote w:id="50">
    <w:p w14:paraId="71BD1729" w14:textId="514DFDAA"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Radunovic</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w:t>
      </w:r>
      <w:r w:rsidRPr="004F1F82">
        <w:rPr>
          <w:rFonts w:ascii="Arial" w:hAnsi="Arial" w:cs="Arial"/>
          <w:sz w:val="20"/>
          <w:szCs w:val="20"/>
        </w:rPr>
        <w:t xml:space="preserve">12 November 2015, par 19, referring to: </w:t>
      </w:r>
      <w:proofErr w:type="spellStart"/>
      <w:r w:rsidRPr="004F1F82">
        <w:rPr>
          <w:rFonts w:ascii="Arial" w:hAnsi="Arial" w:cs="Arial"/>
          <w:sz w:val="20"/>
          <w:szCs w:val="20"/>
        </w:rPr>
        <w:t>Kreuz</w:t>
      </w:r>
      <w:proofErr w:type="spellEnd"/>
      <w:r w:rsidRPr="004F1F82">
        <w:rPr>
          <w:rFonts w:ascii="Arial" w:hAnsi="Arial" w:cs="Arial"/>
          <w:sz w:val="20"/>
          <w:szCs w:val="20"/>
        </w:rPr>
        <w:t xml:space="preserve"> v. Poland, cited above, para. 60, ECHR 2001-VI; Harrison McKee v. Hungary, no. 22840/07, para. 29, 3 June 2014. </w:t>
      </w:r>
    </w:p>
  </w:footnote>
  <w:footnote w:id="51">
    <w:p w14:paraId="6A680C81" w14:textId="6B4B486C"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Radunovic</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w:t>
      </w:r>
      <w:r w:rsidRPr="004F1F82">
        <w:rPr>
          <w:rFonts w:ascii="Arial" w:hAnsi="Arial" w:cs="Arial"/>
          <w:sz w:val="20"/>
          <w:szCs w:val="20"/>
        </w:rPr>
        <w:t xml:space="preserve">12 November 2015, par 19. Regarding the factual findings of the Panel in this case, see also, ibid, pars 20-22.  </w:t>
      </w:r>
      <w:r w:rsidRPr="004F1F82">
        <w:rPr>
          <w:rFonts w:ascii="Arial" w:hAnsi="Arial" w:cs="Arial"/>
          <w:sz w:val="20"/>
          <w:szCs w:val="20"/>
          <w:lang w:val="en-GB"/>
        </w:rPr>
        <w:t xml:space="preserve">See also </w:t>
      </w:r>
      <w:proofErr w:type="spellStart"/>
      <w:r w:rsidRPr="004F1F82">
        <w:rPr>
          <w:rFonts w:ascii="Arial" w:hAnsi="Arial" w:cs="Arial"/>
          <w:i/>
          <w:sz w:val="20"/>
          <w:szCs w:val="20"/>
          <w:lang w:val="en-GB"/>
        </w:rPr>
        <w:t>Ibrahimi</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w:t>
      </w:r>
      <w:r w:rsidRPr="004F1F82">
        <w:rPr>
          <w:rFonts w:ascii="Arial" w:hAnsi="Arial" w:cs="Arial"/>
          <w:sz w:val="20"/>
          <w:szCs w:val="20"/>
        </w:rPr>
        <w:t>21 April 2015, pars 27-29:</w:t>
      </w:r>
    </w:p>
    <w:p w14:paraId="34B49AAA" w14:textId="77777777" w:rsidR="00E37AA9" w:rsidRPr="004F1F82" w:rsidRDefault="00E37AA9" w:rsidP="004F1F82">
      <w:pPr>
        <w:ind w:left="567"/>
        <w:jc w:val="both"/>
        <w:rPr>
          <w:rFonts w:ascii="Arial" w:hAnsi="Arial" w:cs="Arial"/>
          <w:sz w:val="20"/>
          <w:szCs w:val="20"/>
        </w:rPr>
      </w:pPr>
      <w:r w:rsidRPr="004F1F82">
        <w:rPr>
          <w:rFonts w:ascii="Arial" w:hAnsi="Arial" w:cs="Arial"/>
          <w:sz w:val="20"/>
          <w:szCs w:val="20"/>
        </w:rPr>
        <w:t xml:space="preserve">“27. The Panel notes that a requirement to provide translations of relevant documents into English may constitute a serious burden for some claimants, such as the complainant, who is an unemployed IDP and is living on modest benefit. As an aside, the provisions of Law No. 04/l- 033 were found to be incompatible with the Kosovo Constitution and Law on the Use Languages, which both provide that Albania and Serbian are official languages in Kosovo, to be used in all its institutions. Consequently, the Law was changed in a way that it complies with the constitutional demands. It would not appear that the amendments would have any bearing on the complainant’s present situation. </w:t>
      </w:r>
    </w:p>
    <w:p w14:paraId="0F9E3185" w14:textId="77777777" w:rsidR="00E37AA9" w:rsidRPr="004F1F82" w:rsidRDefault="00E37AA9" w:rsidP="004F1F82">
      <w:pPr>
        <w:ind w:left="567"/>
        <w:jc w:val="both"/>
        <w:rPr>
          <w:rFonts w:ascii="Arial" w:hAnsi="Arial" w:cs="Arial"/>
          <w:sz w:val="20"/>
          <w:szCs w:val="20"/>
        </w:rPr>
      </w:pPr>
      <w:r w:rsidRPr="004F1F82">
        <w:rPr>
          <w:rFonts w:ascii="Arial" w:hAnsi="Arial" w:cs="Arial"/>
          <w:sz w:val="20"/>
          <w:szCs w:val="20"/>
        </w:rPr>
        <w:t xml:space="preserve">28. However, the Panel notes that the decision taken by the EULEX SCSC judge does not end the proceeding. The main case is in fact pending and will be decided at a later stage. In this case, there is a difference with the </w:t>
      </w:r>
      <w:proofErr w:type="spellStart"/>
      <w:r w:rsidRPr="004F1F82">
        <w:rPr>
          <w:rFonts w:ascii="Arial" w:hAnsi="Arial" w:cs="Arial"/>
          <w:sz w:val="20"/>
          <w:szCs w:val="20"/>
        </w:rPr>
        <w:t>Kreuz</w:t>
      </w:r>
      <w:proofErr w:type="spellEnd"/>
      <w:r w:rsidRPr="004F1F82">
        <w:rPr>
          <w:rFonts w:ascii="Arial" w:hAnsi="Arial" w:cs="Arial"/>
          <w:sz w:val="20"/>
          <w:szCs w:val="20"/>
        </w:rPr>
        <w:t xml:space="preserve"> case quoted above in par. 23 in that the initiation of the proceedings before the SCSC is not dependent on the payment of a fee or translation costs, but they are only delayed. It follows that the decision not to exempt the complainant from costs of proceedings does not violate his right to access to court (see </w:t>
      </w:r>
      <w:proofErr w:type="spellStart"/>
      <w:r w:rsidRPr="004F1F82">
        <w:rPr>
          <w:rFonts w:ascii="Arial" w:hAnsi="Arial" w:cs="Arial"/>
          <w:sz w:val="20"/>
          <w:szCs w:val="20"/>
        </w:rPr>
        <w:t>Urbanek</w:t>
      </w:r>
      <w:proofErr w:type="spellEnd"/>
      <w:r w:rsidRPr="004F1F82">
        <w:rPr>
          <w:rFonts w:ascii="Arial" w:hAnsi="Arial" w:cs="Arial"/>
          <w:sz w:val="20"/>
          <w:szCs w:val="20"/>
        </w:rPr>
        <w:t xml:space="preserve"> v. Austria, no. 35123/05, §§ 55-56, 9 December 2010). Moreover, it would appear that the merits of the complainant’s appeal against the decision in question has not yet been examined. </w:t>
      </w:r>
    </w:p>
    <w:p w14:paraId="3282D24F" w14:textId="77777777" w:rsidR="00E37AA9" w:rsidRPr="004F1F82" w:rsidRDefault="00E37AA9" w:rsidP="004F1F82">
      <w:pPr>
        <w:ind w:left="567"/>
        <w:jc w:val="both"/>
        <w:rPr>
          <w:rFonts w:ascii="Arial" w:hAnsi="Arial" w:cs="Arial"/>
          <w:sz w:val="20"/>
          <w:szCs w:val="20"/>
        </w:rPr>
      </w:pPr>
      <w:r w:rsidRPr="004F1F82">
        <w:rPr>
          <w:rFonts w:ascii="Arial" w:hAnsi="Arial" w:cs="Arial"/>
          <w:sz w:val="20"/>
          <w:szCs w:val="20"/>
        </w:rPr>
        <w:t xml:space="preserve">29. Should his appeal be unsuccessful, the complainant has the chance to bring his grievance before the SCSC trial panel. A final decision on the costs will then be taken. This decision according to Article 12 of the Law of the SCSC may be in </w:t>
      </w:r>
      <w:proofErr w:type="spellStart"/>
      <w:r w:rsidRPr="004F1F82">
        <w:rPr>
          <w:rFonts w:ascii="Arial" w:hAnsi="Arial" w:cs="Arial"/>
          <w:sz w:val="20"/>
          <w:szCs w:val="20"/>
        </w:rPr>
        <w:t>favour</w:t>
      </w:r>
      <w:proofErr w:type="spellEnd"/>
      <w:r w:rsidRPr="004F1F82">
        <w:rPr>
          <w:rFonts w:ascii="Arial" w:hAnsi="Arial" w:cs="Arial"/>
          <w:sz w:val="20"/>
          <w:szCs w:val="20"/>
        </w:rPr>
        <w:t xml:space="preserve"> of the defendant who then might not be obliged to bear the costs. </w:t>
      </w:r>
    </w:p>
    <w:p w14:paraId="35FBA766" w14:textId="5FCAE39C" w:rsidR="00E37AA9" w:rsidRPr="004F1F82" w:rsidRDefault="00E37AA9" w:rsidP="004F1F82">
      <w:pPr>
        <w:ind w:left="567"/>
        <w:jc w:val="both"/>
        <w:rPr>
          <w:rFonts w:ascii="Arial" w:hAnsi="Arial" w:cs="Arial"/>
          <w:sz w:val="20"/>
          <w:szCs w:val="20"/>
        </w:rPr>
      </w:pPr>
      <w:r w:rsidRPr="004F1F82">
        <w:rPr>
          <w:rFonts w:ascii="Arial" w:hAnsi="Arial" w:cs="Arial"/>
          <w:sz w:val="20"/>
          <w:szCs w:val="20"/>
        </w:rPr>
        <w:t>30. This makes his complaint to the Panel premature, therefore, it holds the complaint - for the time being - as inadmissible.”</w:t>
      </w:r>
    </w:p>
  </w:footnote>
  <w:footnote w:id="52">
    <w:p w14:paraId="0351469C" w14:textId="30B590B8"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Y against EULEX</w:t>
      </w:r>
      <w:r w:rsidRPr="004F1F82">
        <w:rPr>
          <w:rFonts w:ascii="Arial" w:hAnsi="Arial" w:cs="Arial"/>
          <w:sz w:val="20"/>
          <w:szCs w:val="20"/>
        </w:rPr>
        <w:t xml:space="preserve">, 19 October 2016, par 44, referring to: </w:t>
      </w:r>
      <w:r w:rsidRPr="004F1F82">
        <w:rPr>
          <w:rFonts w:ascii="Arial" w:hAnsi="Arial" w:cs="Arial"/>
          <w:color w:val="000000"/>
          <w:sz w:val="20"/>
          <w:szCs w:val="20"/>
        </w:rPr>
        <w:t xml:space="preserve">ECHR, </w:t>
      </w:r>
      <w:proofErr w:type="spellStart"/>
      <w:r w:rsidRPr="004F1F82">
        <w:rPr>
          <w:rFonts w:ascii="Arial" w:hAnsi="Arial" w:cs="Arial"/>
          <w:i/>
          <w:color w:val="000000"/>
          <w:sz w:val="20"/>
          <w:szCs w:val="20"/>
        </w:rPr>
        <w:t>Chauvy</w:t>
      </w:r>
      <w:proofErr w:type="spellEnd"/>
      <w:r w:rsidRPr="004F1F82">
        <w:rPr>
          <w:rFonts w:ascii="Arial" w:hAnsi="Arial" w:cs="Arial"/>
          <w:i/>
          <w:color w:val="000000"/>
          <w:sz w:val="20"/>
          <w:szCs w:val="20"/>
        </w:rPr>
        <w:t xml:space="preserve"> and Others v. France</w:t>
      </w:r>
      <w:r w:rsidRPr="004F1F82">
        <w:rPr>
          <w:rFonts w:ascii="Arial" w:hAnsi="Arial" w:cs="Arial"/>
          <w:color w:val="000000"/>
          <w:sz w:val="20"/>
          <w:szCs w:val="20"/>
        </w:rPr>
        <w:t>, no. 64915/01, § 70, ECHR 2004</w:t>
      </w:r>
      <w:r w:rsidRPr="004F1F82">
        <w:rPr>
          <w:rFonts w:ascii="Cambria Math" w:eastAsia="MS Gothic" w:hAnsi="Cambria Math" w:cs="Cambria Math"/>
          <w:color w:val="000000"/>
          <w:sz w:val="20"/>
          <w:szCs w:val="20"/>
        </w:rPr>
        <w:t>‑</w:t>
      </w:r>
      <w:r w:rsidRPr="004F1F82">
        <w:rPr>
          <w:rFonts w:ascii="Arial" w:hAnsi="Arial" w:cs="Arial"/>
          <w:color w:val="000000"/>
          <w:sz w:val="20"/>
          <w:szCs w:val="20"/>
        </w:rPr>
        <w:t xml:space="preserve">VI, </w:t>
      </w:r>
      <w:r w:rsidRPr="004F1F82">
        <w:rPr>
          <w:rFonts w:ascii="Arial" w:hAnsi="Arial" w:cs="Arial"/>
          <w:i/>
          <w:color w:val="000000"/>
          <w:sz w:val="20"/>
          <w:szCs w:val="20"/>
        </w:rPr>
        <w:t>Pfeifer v. Austria</w:t>
      </w:r>
      <w:r w:rsidRPr="004F1F82">
        <w:rPr>
          <w:rFonts w:ascii="Arial" w:hAnsi="Arial" w:cs="Arial"/>
          <w:color w:val="000000"/>
          <w:sz w:val="20"/>
          <w:szCs w:val="20"/>
        </w:rPr>
        <w:t>, no. 12556/03, § 35.</w:t>
      </w:r>
    </w:p>
  </w:footnote>
  <w:footnote w:id="53">
    <w:p w14:paraId="5F78F570" w14:textId="7D535B63"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Ibid</w:t>
      </w:r>
      <w:r w:rsidRPr="004F1F82">
        <w:rPr>
          <w:rFonts w:ascii="Arial" w:hAnsi="Arial" w:cs="Arial"/>
          <w:sz w:val="20"/>
          <w:szCs w:val="20"/>
        </w:rPr>
        <w:t xml:space="preserve">, par 45, referring to: </w:t>
      </w:r>
      <w:r w:rsidRPr="004F1F82">
        <w:rPr>
          <w:rFonts w:ascii="Arial" w:hAnsi="Arial" w:cs="Arial"/>
          <w:i/>
          <w:color w:val="000000"/>
          <w:sz w:val="20"/>
          <w:szCs w:val="20"/>
        </w:rPr>
        <w:t>A. v. Norway</w:t>
      </w:r>
      <w:r w:rsidRPr="004F1F82">
        <w:rPr>
          <w:rFonts w:ascii="Arial" w:hAnsi="Arial" w:cs="Arial"/>
          <w:color w:val="000000"/>
          <w:sz w:val="20"/>
          <w:szCs w:val="20"/>
        </w:rPr>
        <w:t>, no. 28070/06, § 64, 9 April 2009;</w:t>
      </w:r>
      <w:r w:rsidRPr="004F1F82">
        <w:rPr>
          <w:rFonts w:ascii="Arial" w:hAnsi="Arial" w:cs="Arial"/>
          <w:sz w:val="20"/>
          <w:szCs w:val="20"/>
        </w:rPr>
        <w:t xml:space="preserve"> </w:t>
      </w:r>
      <w:proofErr w:type="spellStart"/>
      <w:r w:rsidRPr="004F1F82">
        <w:rPr>
          <w:rFonts w:ascii="Arial" w:hAnsi="Arial" w:cs="Arial"/>
          <w:i/>
          <w:color w:val="000000"/>
          <w:sz w:val="20"/>
          <w:szCs w:val="20"/>
        </w:rPr>
        <w:t>Sidabras</w:t>
      </w:r>
      <w:proofErr w:type="spellEnd"/>
      <w:r w:rsidRPr="004F1F82">
        <w:rPr>
          <w:rFonts w:ascii="Arial" w:hAnsi="Arial" w:cs="Arial"/>
          <w:i/>
          <w:color w:val="000000"/>
          <w:sz w:val="20"/>
          <w:szCs w:val="20"/>
        </w:rPr>
        <w:t xml:space="preserve"> and </w:t>
      </w:r>
      <w:proofErr w:type="spellStart"/>
      <w:r w:rsidRPr="004F1F82">
        <w:rPr>
          <w:rFonts w:ascii="Arial" w:hAnsi="Arial" w:cs="Arial"/>
          <w:i/>
          <w:color w:val="000000"/>
          <w:sz w:val="20"/>
          <w:szCs w:val="20"/>
        </w:rPr>
        <w:t>Džiautas</w:t>
      </w:r>
      <w:proofErr w:type="spellEnd"/>
      <w:r w:rsidRPr="004F1F82">
        <w:rPr>
          <w:rFonts w:ascii="Arial" w:hAnsi="Arial" w:cs="Arial"/>
          <w:i/>
          <w:color w:val="000000"/>
          <w:sz w:val="20"/>
          <w:szCs w:val="20"/>
        </w:rPr>
        <w:t xml:space="preserve"> v. Lithuania</w:t>
      </w:r>
      <w:r w:rsidRPr="004F1F82">
        <w:rPr>
          <w:rFonts w:ascii="Arial" w:hAnsi="Arial" w:cs="Arial"/>
          <w:color w:val="000000"/>
          <w:sz w:val="20"/>
          <w:szCs w:val="20"/>
        </w:rPr>
        <w:t>, nos. 55480/00 and 59330/00, § 49, ECHR 2004</w:t>
      </w:r>
      <w:r w:rsidRPr="004F1F82">
        <w:rPr>
          <w:rFonts w:ascii="Cambria Math" w:eastAsia="MS Gothic" w:hAnsi="Cambria Math" w:cs="Cambria Math"/>
          <w:color w:val="000000"/>
          <w:sz w:val="20"/>
          <w:szCs w:val="20"/>
        </w:rPr>
        <w:t>‑</w:t>
      </w:r>
      <w:r w:rsidRPr="004F1F82">
        <w:rPr>
          <w:rFonts w:ascii="Arial" w:hAnsi="Arial" w:cs="Arial"/>
          <w:color w:val="000000"/>
          <w:sz w:val="20"/>
          <w:szCs w:val="20"/>
        </w:rPr>
        <w:t xml:space="preserve">VIII. The Panel also observed that there has been a number of cases concerning statements made in a course of an investigation or judicial proceedings where the Court found that there was an interference with the applicant’s right to a private life (ibid, referring to: </w:t>
      </w:r>
      <w:r w:rsidRPr="004F1F82">
        <w:rPr>
          <w:rFonts w:ascii="Arial" w:hAnsi="Arial" w:cs="Arial"/>
          <w:i/>
          <w:color w:val="000000"/>
          <w:sz w:val="20"/>
          <w:szCs w:val="20"/>
        </w:rPr>
        <w:t>Sanchez Cardenas v. Norway</w:t>
      </w:r>
      <w:r w:rsidRPr="004F1F82">
        <w:rPr>
          <w:rFonts w:ascii="Arial" w:hAnsi="Arial" w:cs="Arial"/>
          <w:color w:val="000000"/>
          <w:sz w:val="20"/>
          <w:szCs w:val="20"/>
        </w:rPr>
        <w:t xml:space="preserve">, no. 12148/03, § 33, 4 October 2007; </w:t>
      </w:r>
      <w:proofErr w:type="spellStart"/>
      <w:r w:rsidRPr="004F1F82">
        <w:rPr>
          <w:rFonts w:ascii="Arial" w:hAnsi="Arial" w:cs="Arial"/>
          <w:i/>
          <w:color w:val="000000"/>
          <w:sz w:val="20"/>
          <w:szCs w:val="20"/>
        </w:rPr>
        <w:t>Mikolajová</w:t>
      </w:r>
      <w:proofErr w:type="spellEnd"/>
      <w:r w:rsidRPr="004F1F82">
        <w:rPr>
          <w:rFonts w:ascii="Arial" w:hAnsi="Arial" w:cs="Arial"/>
          <w:i/>
          <w:color w:val="000000"/>
          <w:sz w:val="20"/>
          <w:szCs w:val="20"/>
        </w:rPr>
        <w:t xml:space="preserve"> v. Slovakia</w:t>
      </w:r>
      <w:r w:rsidRPr="004F1F82">
        <w:rPr>
          <w:rFonts w:ascii="Arial" w:hAnsi="Arial" w:cs="Arial"/>
          <w:color w:val="000000"/>
          <w:sz w:val="20"/>
          <w:szCs w:val="20"/>
        </w:rPr>
        <w:t>, no. 4479/03, § 57, 18 January 2011).</w:t>
      </w:r>
    </w:p>
  </w:footnote>
  <w:footnote w:id="54">
    <w:p w14:paraId="5E59B9C3" w14:textId="7F9DBF1B"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Stanisic</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11 November 2015, par 58, referring to: X and Y v. the Netherlands judgment of 26 March 1985, Series A no. 91, p. 11, § 22; </w:t>
      </w:r>
      <w:proofErr w:type="spellStart"/>
      <w:r w:rsidRPr="004F1F82">
        <w:rPr>
          <w:rFonts w:ascii="Arial" w:hAnsi="Arial" w:cs="Arial"/>
          <w:sz w:val="20"/>
          <w:szCs w:val="20"/>
        </w:rPr>
        <w:t>Niemietz</w:t>
      </w:r>
      <w:proofErr w:type="spellEnd"/>
      <w:r w:rsidRPr="004F1F82">
        <w:rPr>
          <w:rFonts w:ascii="Arial" w:hAnsi="Arial" w:cs="Arial"/>
          <w:sz w:val="20"/>
          <w:szCs w:val="20"/>
        </w:rPr>
        <w:t xml:space="preserve"> v. Germany judgment of 16 December 1992, Series A no. 215-B, p. 11, § 29; Costello-Roberts v. the United Kingdom judgment of 25 March 1993, Series A no. 247-C, pp. 60–61, §§ 34 and 36. See also </w:t>
      </w:r>
      <w:proofErr w:type="spellStart"/>
      <w:r w:rsidRPr="004F1F82">
        <w:rPr>
          <w:rFonts w:ascii="Arial" w:hAnsi="Arial" w:cs="Arial"/>
          <w:i/>
          <w:sz w:val="20"/>
          <w:szCs w:val="20"/>
        </w:rPr>
        <w:t>Krlic</w:t>
      </w:r>
      <w:proofErr w:type="spellEnd"/>
      <w:r w:rsidRPr="004F1F82">
        <w:rPr>
          <w:rFonts w:ascii="Arial" w:hAnsi="Arial" w:cs="Arial"/>
          <w:i/>
          <w:sz w:val="20"/>
          <w:szCs w:val="20"/>
        </w:rPr>
        <w:t xml:space="preserve"> against EULEX</w:t>
      </w:r>
      <w:r w:rsidRPr="004F1F82">
        <w:rPr>
          <w:rFonts w:ascii="Arial" w:hAnsi="Arial" w:cs="Arial"/>
          <w:sz w:val="20"/>
          <w:szCs w:val="20"/>
        </w:rPr>
        <w:t>, 26 August 2014, par 24.</w:t>
      </w:r>
    </w:p>
  </w:footnote>
  <w:footnote w:id="55">
    <w:p w14:paraId="6CD638D0" w14:textId="29DA2189"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Krlic</w:t>
      </w:r>
      <w:proofErr w:type="spellEnd"/>
      <w:r w:rsidRPr="004F1F82">
        <w:rPr>
          <w:rFonts w:ascii="Arial" w:hAnsi="Arial" w:cs="Arial"/>
          <w:i/>
          <w:sz w:val="20"/>
          <w:szCs w:val="20"/>
        </w:rPr>
        <w:t xml:space="preserve"> against EULEX</w:t>
      </w:r>
      <w:r w:rsidRPr="004F1F82">
        <w:rPr>
          <w:rFonts w:ascii="Arial" w:hAnsi="Arial" w:cs="Arial"/>
          <w:sz w:val="20"/>
          <w:szCs w:val="20"/>
        </w:rPr>
        <w:t>, 26 August 2014, par 25.</w:t>
      </w:r>
    </w:p>
  </w:footnote>
  <w:footnote w:id="56">
    <w:p w14:paraId="22355C53" w14:textId="29FDC66F"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Krlic</w:t>
      </w:r>
      <w:proofErr w:type="spellEnd"/>
      <w:r w:rsidRPr="004F1F82">
        <w:rPr>
          <w:rFonts w:ascii="Arial" w:hAnsi="Arial" w:cs="Arial"/>
          <w:i/>
          <w:sz w:val="20"/>
          <w:szCs w:val="20"/>
        </w:rPr>
        <w:t xml:space="preserve"> against EULEX</w:t>
      </w:r>
      <w:r w:rsidRPr="004F1F82">
        <w:rPr>
          <w:rFonts w:ascii="Arial" w:hAnsi="Arial" w:cs="Arial"/>
          <w:sz w:val="20"/>
          <w:szCs w:val="20"/>
        </w:rPr>
        <w:t>, 26 August 2014, pars 27-29. See also H &amp; G against EULEX, 30 September 2013.</w:t>
      </w:r>
    </w:p>
  </w:footnote>
  <w:footnote w:id="57">
    <w:p w14:paraId="07DBF6FE" w14:textId="6A72A664"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w:t>
      </w:r>
      <w:r w:rsidRPr="004F1F82">
        <w:rPr>
          <w:rFonts w:ascii="Arial" w:hAnsi="Arial" w:cs="Arial"/>
          <w:i/>
          <w:sz w:val="20"/>
          <w:szCs w:val="20"/>
        </w:rPr>
        <w:t>L.O. against EULEX</w:t>
      </w:r>
      <w:r w:rsidRPr="004F1F82">
        <w:rPr>
          <w:rFonts w:ascii="Arial" w:hAnsi="Arial" w:cs="Arial"/>
          <w:sz w:val="20"/>
          <w:szCs w:val="20"/>
        </w:rPr>
        <w:t xml:space="preserve">, 11 November 2015, par 60. See, in particular, the finding of the Panel in that case: “There was apparently only one direct verbal contact between the complainant and the Mission, which also appears to have reacted only when prompted to do so by the complainant. Such a record is not such as to guarantee the procedural protection guaranteed by Article 2 and 3 of the Convention. It may also be said to have negatively affected the complainant’s enjoyment of her rights under Article 8 and 13 of the Convention.” (par 60; see also, ibid, par 61). See also </w:t>
      </w:r>
      <w:r w:rsidRPr="004F1F82">
        <w:rPr>
          <w:rFonts w:ascii="Arial" w:hAnsi="Arial" w:cs="Arial"/>
          <w:i/>
          <w:sz w:val="20"/>
          <w:szCs w:val="20"/>
        </w:rPr>
        <w:t>A and others against EULEX</w:t>
      </w:r>
      <w:r w:rsidRPr="004F1F82">
        <w:rPr>
          <w:rFonts w:ascii="Arial" w:hAnsi="Arial" w:cs="Arial"/>
          <w:sz w:val="20"/>
          <w:szCs w:val="20"/>
        </w:rPr>
        <w:t xml:space="preserve">, 20 June 2013. </w:t>
      </w:r>
    </w:p>
  </w:footnote>
  <w:footnote w:id="58">
    <w:p w14:paraId="455571B9" w14:textId="3CB757F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Stanisic</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11 November 2015, par 58, referring to: </w:t>
      </w:r>
      <w:proofErr w:type="spellStart"/>
      <w:r w:rsidRPr="004F1F82">
        <w:rPr>
          <w:rFonts w:ascii="Arial" w:hAnsi="Arial" w:cs="Arial"/>
          <w:sz w:val="20"/>
          <w:szCs w:val="20"/>
        </w:rPr>
        <w:t>Niemietz</w:t>
      </w:r>
      <w:proofErr w:type="spellEnd"/>
      <w:r w:rsidRPr="004F1F82">
        <w:rPr>
          <w:rFonts w:ascii="Arial" w:hAnsi="Arial" w:cs="Arial"/>
          <w:sz w:val="20"/>
          <w:szCs w:val="20"/>
        </w:rPr>
        <w:t xml:space="preserve"> v. Germany judgment cited above, § 31.</w:t>
      </w:r>
    </w:p>
  </w:footnote>
  <w:footnote w:id="59">
    <w:p w14:paraId="16B6EEBB" w14:textId="5E2B88B0"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Stanisic</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11 November 2015, par 59, referring to: X and Y v. the Netherlands, 26 March 1985, §§ 22-23, Series A no. 91; </w:t>
      </w:r>
      <w:proofErr w:type="spellStart"/>
      <w:r w:rsidRPr="004F1F82">
        <w:rPr>
          <w:rFonts w:ascii="Arial" w:hAnsi="Arial" w:cs="Arial"/>
          <w:sz w:val="20"/>
          <w:szCs w:val="20"/>
        </w:rPr>
        <w:t>Odièvre</w:t>
      </w:r>
      <w:proofErr w:type="spellEnd"/>
      <w:r w:rsidRPr="004F1F82">
        <w:rPr>
          <w:rFonts w:ascii="Arial" w:hAnsi="Arial" w:cs="Arial"/>
          <w:sz w:val="20"/>
          <w:szCs w:val="20"/>
        </w:rPr>
        <w:t xml:space="preserve"> v. France [GC], no. 42326/98, § 42, ECHR 2003</w:t>
      </w:r>
      <w:r w:rsidRPr="004F1F82">
        <w:rPr>
          <w:rFonts w:ascii="Arial" w:hAnsi="Arial" w:cs="Arial"/>
          <w:sz w:val="20"/>
          <w:szCs w:val="20"/>
        </w:rPr>
        <w:noBreakHyphen/>
        <w:t>III; Hatton and Others v. the United Kingdom [GC], no. 36022/97, §§ 96- 98, ECHR 2003-VIII. In this particular case, the Panel was not satisfied that it had been shown that the Mission had failed to meet this guarantee’s requirements; ibid, par 60 (“Whilst the complainants’ Article 8 rights might have been violated by third parties, it is not been shown how EULEX’s actions or omission would have participated in such a violation. In particular, it has not been established that EULEX encouraged or remained blind to these interferences. Instead, it positively sought to investigate this matter, albeit unsuccessfully. Whilst that investigation might not have been flawless, it has not been established by the complainants that EULEX’s involvement in that investigation contributed to violating his Article 8 rights.”).</w:t>
      </w:r>
    </w:p>
  </w:footnote>
  <w:footnote w:id="60">
    <w:p w14:paraId="3E3DA4BB" w14:textId="3F23404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Y against EULEX</w:t>
      </w:r>
      <w:r w:rsidRPr="004F1F82">
        <w:rPr>
          <w:rFonts w:ascii="Arial" w:hAnsi="Arial" w:cs="Arial"/>
          <w:sz w:val="20"/>
          <w:szCs w:val="20"/>
        </w:rPr>
        <w:t>, 19 October 2016, par 46.</w:t>
      </w:r>
    </w:p>
  </w:footnote>
  <w:footnote w:id="61">
    <w:p w14:paraId="7C8C8B2E" w14:textId="78641F02"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Y against EULEX</w:t>
      </w:r>
      <w:r w:rsidRPr="004F1F82">
        <w:rPr>
          <w:rFonts w:ascii="Arial" w:hAnsi="Arial" w:cs="Arial"/>
          <w:sz w:val="20"/>
          <w:szCs w:val="20"/>
        </w:rPr>
        <w:t>, 19 October 2016, par 48.</w:t>
      </w:r>
    </w:p>
  </w:footnote>
  <w:footnote w:id="62">
    <w:p w14:paraId="46378BB7" w14:textId="6C66AA85"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W against EULEX</w:t>
      </w:r>
      <w:r w:rsidRPr="004F1F82">
        <w:rPr>
          <w:rFonts w:ascii="Arial" w:hAnsi="Arial" w:cs="Arial"/>
          <w:sz w:val="20"/>
          <w:szCs w:val="20"/>
        </w:rPr>
        <w:t xml:space="preserve">, 10 April 2013, par 39, referring to: </w:t>
      </w:r>
      <w:r w:rsidRPr="004F1F82">
        <w:rPr>
          <w:rFonts w:ascii="Arial" w:hAnsi="Arial" w:cs="Arial"/>
          <w:i/>
          <w:sz w:val="20"/>
          <w:szCs w:val="20"/>
          <w:lang w:val="en-GB"/>
        </w:rPr>
        <w:t>Leander v. Sweden</w:t>
      </w:r>
      <w:r w:rsidRPr="004F1F82">
        <w:rPr>
          <w:rFonts w:ascii="Arial" w:hAnsi="Arial" w:cs="Arial"/>
          <w:sz w:val="20"/>
          <w:szCs w:val="20"/>
          <w:lang w:val="en-GB"/>
        </w:rPr>
        <w:t>, judgment of 26 March 1987, par. 48.</w:t>
      </w:r>
    </w:p>
  </w:footnote>
  <w:footnote w:id="63">
    <w:p w14:paraId="47A421B1" w14:textId="4B52F56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Ibid</w:t>
      </w:r>
      <w:r w:rsidRPr="004F1F82">
        <w:rPr>
          <w:rFonts w:ascii="Arial" w:hAnsi="Arial" w:cs="Arial"/>
          <w:sz w:val="20"/>
          <w:szCs w:val="20"/>
        </w:rPr>
        <w:t xml:space="preserve">, par 40, referring to: </w:t>
      </w:r>
      <w:r w:rsidRPr="004F1F82">
        <w:rPr>
          <w:rFonts w:ascii="Arial" w:hAnsi="Arial" w:cs="Arial"/>
          <w:i/>
          <w:sz w:val="20"/>
          <w:szCs w:val="20"/>
          <w:lang w:val="en-GB"/>
        </w:rPr>
        <w:t>Petra v. Romania</w:t>
      </w:r>
      <w:r w:rsidRPr="004F1F82">
        <w:rPr>
          <w:rFonts w:ascii="Arial" w:hAnsi="Arial" w:cs="Arial"/>
          <w:sz w:val="20"/>
          <w:szCs w:val="20"/>
          <w:lang w:val="en-GB"/>
        </w:rPr>
        <w:t xml:space="preserve">, judgment of 23 September 1998, Reports 1998-VII, p. 2853, par. 36. </w:t>
      </w:r>
    </w:p>
  </w:footnote>
  <w:footnote w:id="64">
    <w:p w14:paraId="3525DAB6" w14:textId="5597D60F"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w:t>
      </w:r>
      <w:r w:rsidRPr="004F1F82">
        <w:rPr>
          <w:rFonts w:ascii="Arial" w:hAnsi="Arial" w:cs="Arial"/>
          <w:i/>
          <w:sz w:val="20"/>
          <w:szCs w:val="20"/>
        </w:rPr>
        <w:t>ibid</w:t>
      </w:r>
      <w:r w:rsidRPr="004F1F82">
        <w:rPr>
          <w:rFonts w:ascii="Arial" w:hAnsi="Arial" w:cs="Arial"/>
          <w:sz w:val="20"/>
          <w:szCs w:val="20"/>
        </w:rPr>
        <w:t xml:space="preserve">, pars 41 et seq. in particular, at paragraphs 42-43, the Panel noted this regarding the absence of a legal basis authorizing the communication of such information (to Serb authorities): </w:t>
      </w:r>
    </w:p>
    <w:p w14:paraId="0390DC75" w14:textId="5B89904C" w:rsidR="00E37AA9" w:rsidRPr="004F1F82" w:rsidRDefault="00E37AA9" w:rsidP="004F1F82">
      <w:pPr>
        <w:ind w:left="567"/>
        <w:jc w:val="both"/>
        <w:rPr>
          <w:rFonts w:ascii="Arial" w:hAnsi="Arial" w:cs="Arial"/>
          <w:sz w:val="20"/>
          <w:szCs w:val="20"/>
          <w:lang w:val="en-GB"/>
        </w:rPr>
      </w:pPr>
      <w:r w:rsidRPr="004F1F82">
        <w:rPr>
          <w:rFonts w:ascii="Arial" w:hAnsi="Arial" w:cs="Arial"/>
          <w:sz w:val="20"/>
          <w:szCs w:val="20"/>
        </w:rPr>
        <w:t>“42.</w:t>
      </w:r>
      <w:r w:rsidRPr="004F1F82">
        <w:rPr>
          <w:rFonts w:ascii="Arial" w:hAnsi="Arial" w:cs="Arial"/>
          <w:sz w:val="20"/>
          <w:szCs w:val="20"/>
          <w:lang w:val="en-GB"/>
        </w:rPr>
        <w:t>The Panel notes that by providing this statement without an apparent legal basis to Serbian authorities, EULEX Prosecutors have all but denied the complainant the procedural ability to contest their actions in local courts and to do so in such a way that he could have prevented such disclosure or obtained relevant procedural guarantees that might have assuaged some of his concerns.</w:t>
      </w:r>
    </w:p>
    <w:p w14:paraId="65B46BC8" w14:textId="3026FA9C" w:rsidR="00E37AA9" w:rsidRPr="004F1F82" w:rsidRDefault="00E37AA9" w:rsidP="004F1F82">
      <w:pPr>
        <w:pStyle w:val="FootnoteText"/>
        <w:ind w:left="567"/>
        <w:jc w:val="both"/>
        <w:rPr>
          <w:rFonts w:ascii="Arial" w:hAnsi="Arial" w:cs="Arial"/>
          <w:sz w:val="20"/>
          <w:szCs w:val="20"/>
        </w:rPr>
      </w:pPr>
      <w:r w:rsidRPr="004F1F82">
        <w:rPr>
          <w:rFonts w:ascii="Arial" w:hAnsi="Arial" w:cs="Arial"/>
          <w:sz w:val="20"/>
          <w:szCs w:val="20"/>
          <w:lang w:val="en-GB"/>
        </w:rPr>
        <w:t>43.The inability of EULEX to identify a legal basis for its actions is worrying considering the nature of the case in question, the real and immediate risk of witnesses being interfered with in the local environment and the fact that the complainant had repeatedly objected to his statement being communicated to the Serbian authorities.”</w:t>
      </w:r>
    </w:p>
  </w:footnote>
  <w:footnote w:id="65">
    <w:p w14:paraId="44253C5E" w14:textId="4DCC5969"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pars 46-51.</w:t>
      </w:r>
    </w:p>
  </w:footnote>
  <w:footnote w:id="66">
    <w:p w14:paraId="476B3179" w14:textId="2029BFDF"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generally, </w:t>
      </w:r>
      <w:r w:rsidRPr="004F1F82">
        <w:rPr>
          <w:rFonts w:ascii="Arial" w:hAnsi="Arial" w:cs="Arial"/>
          <w:i/>
          <w:sz w:val="20"/>
          <w:szCs w:val="20"/>
        </w:rPr>
        <w:t>H and others against EULEX</w:t>
      </w:r>
      <w:r w:rsidRPr="004F1F82">
        <w:rPr>
          <w:rFonts w:ascii="Arial" w:hAnsi="Arial" w:cs="Arial"/>
          <w:sz w:val="20"/>
          <w:szCs w:val="20"/>
        </w:rPr>
        <w:t xml:space="preserve">, 30 September 2013, par 46. See also </w:t>
      </w:r>
      <w:r w:rsidRPr="004F1F82">
        <w:rPr>
          <w:rFonts w:ascii="Arial" w:hAnsi="Arial" w:cs="Arial"/>
          <w:i/>
          <w:sz w:val="20"/>
          <w:szCs w:val="20"/>
        </w:rPr>
        <w:t>A and others against EULEX</w:t>
      </w:r>
      <w:r w:rsidRPr="004F1F82">
        <w:rPr>
          <w:rFonts w:ascii="Arial" w:hAnsi="Arial" w:cs="Arial"/>
          <w:sz w:val="20"/>
          <w:szCs w:val="20"/>
        </w:rPr>
        <w:t xml:space="preserve">, 20 June 2013, pars 52-53 (“The Panel observes that by participating in the celebrations at </w:t>
      </w:r>
      <w:proofErr w:type="spellStart"/>
      <w:r w:rsidRPr="004F1F82">
        <w:rPr>
          <w:rFonts w:ascii="Arial" w:hAnsi="Arial" w:cs="Arial"/>
          <w:sz w:val="20"/>
          <w:szCs w:val="20"/>
        </w:rPr>
        <w:t>Gazimestan</w:t>
      </w:r>
      <w:proofErr w:type="spellEnd"/>
      <w:r w:rsidRPr="004F1F82">
        <w:rPr>
          <w:rFonts w:ascii="Arial" w:hAnsi="Arial" w:cs="Arial"/>
          <w:sz w:val="20"/>
          <w:szCs w:val="20"/>
        </w:rPr>
        <w:t xml:space="preserve"> the complainants sought to exercise their right to freedom of assembly and their right to freedom of conscience. While they were not prevented from participating in the event, they were subsequently victims of a violent attack by private parties against the bus in which they were travelling. As their bodily integrity was thereby threatened, the Panel will examine the complaints related thereto in the context of their right to respect for their private lives.”).</w:t>
      </w:r>
    </w:p>
  </w:footnote>
  <w:footnote w:id="67">
    <w:p w14:paraId="051DEB51" w14:textId="77E30B5C"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A and others against EULEX</w:t>
      </w:r>
      <w:r w:rsidRPr="004F1F82">
        <w:rPr>
          <w:rFonts w:ascii="Arial" w:hAnsi="Arial" w:cs="Arial"/>
          <w:sz w:val="20"/>
          <w:szCs w:val="20"/>
        </w:rPr>
        <w:t xml:space="preserve">, 20 June 2013, par 55, referring to: mutatis mutandis, the X and Y v. the Netherlands judgment of 26 March 1985, Series A no. 91, p. 11, § 23).” (see, </w:t>
      </w:r>
      <w:proofErr w:type="spellStart"/>
      <w:r w:rsidRPr="004F1F82">
        <w:rPr>
          <w:rFonts w:ascii="Arial" w:hAnsi="Arial" w:cs="Arial"/>
          <w:sz w:val="20"/>
          <w:szCs w:val="20"/>
        </w:rPr>
        <w:t>Plattform</w:t>
      </w:r>
      <w:proofErr w:type="spellEnd"/>
      <w:r w:rsidRPr="004F1F82">
        <w:rPr>
          <w:rFonts w:ascii="Arial" w:hAnsi="Arial" w:cs="Arial"/>
          <w:sz w:val="20"/>
          <w:szCs w:val="20"/>
        </w:rPr>
        <w:t xml:space="preserve"> “</w:t>
      </w:r>
      <w:proofErr w:type="spellStart"/>
      <w:r w:rsidRPr="004F1F82">
        <w:rPr>
          <w:rFonts w:ascii="Arial" w:hAnsi="Arial" w:cs="Arial"/>
          <w:sz w:val="20"/>
          <w:szCs w:val="20"/>
        </w:rPr>
        <w:t>Ärzte</w:t>
      </w:r>
      <w:proofErr w:type="spellEnd"/>
      <w:r w:rsidRPr="004F1F82">
        <w:rPr>
          <w:rFonts w:ascii="Arial" w:hAnsi="Arial" w:cs="Arial"/>
          <w:sz w:val="20"/>
          <w:szCs w:val="20"/>
        </w:rPr>
        <w:t xml:space="preserve"> </w:t>
      </w:r>
      <w:proofErr w:type="spellStart"/>
      <w:r w:rsidRPr="004F1F82">
        <w:rPr>
          <w:rFonts w:ascii="Arial" w:hAnsi="Arial" w:cs="Arial"/>
          <w:sz w:val="20"/>
          <w:szCs w:val="20"/>
        </w:rPr>
        <w:t>für</w:t>
      </w:r>
      <w:proofErr w:type="spellEnd"/>
      <w:r w:rsidRPr="004F1F82">
        <w:rPr>
          <w:rFonts w:ascii="Arial" w:hAnsi="Arial" w:cs="Arial"/>
          <w:sz w:val="20"/>
          <w:szCs w:val="20"/>
        </w:rPr>
        <w:t xml:space="preserve"> das Leben” v. Austria, 21 June 1988, § 32, Series A no. 139).</w:t>
      </w:r>
    </w:p>
  </w:footnote>
  <w:footnote w:id="68">
    <w:p w14:paraId="40298407" w14:textId="41BC0CD8"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Ibid</w:t>
      </w:r>
      <w:r w:rsidRPr="004F1F82">
        <w:rPr>
          <w:rFonts w:ascii="Arial" w:hAnsi="Arial" w:cs="Arial"/>
          <w:sz w:val="20"/>
          <w:szCs w:val="20"/>
        </w:rPr>
        <w:t xml:space="preserve">, referring to: </w:t>
      </w:r>
      <w:proofErr w:type="spellStart"/>
      <w:r w:rsidRPr="004F1F82">
        <w:rPr>
          <w:rFonts w:ascii="Arial" w:hAnsi="Arial" w:cs="Arial"/>
          <w:sz w:val="20"/>
          <w:szCs w:val="20"/>
        </w:rPr>
        <w:t>Plattform</w:t>
      </w:r>
      <w:proofErr w:type="spellEnd"/>
      <w:r w:rsidRPr="004F1F82">
        <w:rPr>
          <w:rFonts w:ascii="Arial" w:hAnsi="Arial" w:cs="Arial"/>
          <w:sz w:val="20"/>
          <w:szCs w:val="20"/>
        </w:rPr>
        <w:t xml:space="preserve"> “</w:t>
      </w:r>
      <w:proofErr w:type="spellStart"/>
      <w:r w:rsidRPr="004F1F82">
        <w:rPr>
          <w:rFonts w:ascii="Arial" w:hAnsi="Arial" w:cs="Arial"/>
          <w:sz w:val="20"/>
          <w:szCs w:val="20"/>
        </w:rPr>
        <w:t>Ärzte</w:t>
      </w:r>
      <w:proofErr w:type="spellEnd"/>
      <w:r w:rsidRPr="004F1F82">
        <w:rPr>
          <w:rFonts w:ascii="Arial" w:hAnsi="Arial" w:cs="Arial"/>
          <w:sz w:val="20"/>
          <w:szCs w:val="20"/>
        </w:rPr>
        <w:t xml:space="preserve"> </w:t>
      </w:r>
      <w:proofErr w:type="spellStart"/>
      <w:r w:rsidRPr="004F1F82">
        <w:rPr>
          <w:rFonts w:ascii="Arial" w:hAnsi="Arial" w:cs="Arial"/>
          <w:sz w:val="20"/>
          <w:szCs w:val="20"/>
        </w:rPr>
        <w:t>für</w:t>
      </w:r>
      <w:proofErr w:type="spellEnd"/>
      <w:r w:rsidRPr="004F1F82">
        <w:rPr>
          <w:rFonts w:ascii="Arial" w:hAnsi="Arial" w:cs="Arial"/>
          <w:sz w:val="20"/>
          <w:szCs w:val="20"/>
        </w:rPr>
        <w:t xml:space="preserve"> das Leben” v. Austria, cited above, § 34; </w:t>
      </w:r>
      <w:proofErr w:type="spellStart"/>
      <w:r w:rsidRPr="004F1F82">
        <w:rPr>
          <w:rFonts w:ascii="Arial" w:hAnsi="Arial" w:cs="Arial"/>
          <w:sz w:val="20"/>
          <w:szCs w:val="20"/>
        </w:rPr>
        <w:t>Oya</w:t>
      </w:r>
      <w:proofErr w:type="spellEnd"/>
      <w:r w:rsidRPr="004F1F82">
        <w:rPr>
          <w:rFonts w:ascii="Arial" w:hAnsi="Arial" w:cs="Arial"/>
          <w:sz w:val="20"/>
          <w:szCs w:val="20"/>
        </w:rPr>
        <w:t xml:space="preserve"> Ataman v. Turkey, no. 74552/01, § 35, ECHR 2006-XIII; </w:t>
      </w:r>
      <w:proofErr w:type="spellStart"/>
      <w:r w:rsidRPr="004F1F82">
        <w:rPr>
          <w:rFonts w:ascii="Arial" w:hAnsi="Arial" w:cs="Arial"/>
          <w:sz w:val="20"/>
          <w:szCs w:val="20"/>
        </w:rPr>
        <w:t>Ouranio</w:t>
      </w:r>
      <w:proofErr w:type="spellEnd"/>
      <w:r w:rsidRPr="004F1F82">
        <w:rPr>
          <w:rFonts w:ascii="Arial" w:hAnsi="Arial" w:cs="Arial"/>
          <w:sz w:val="20"/>
          <w:szCs w:val="20"/>
        </w:rPr>
        <w:t xml:space="preserve"> </w:t>
      </w:r>
      <w:proofErr w:type="spellStart"/>
      <w:r w:rsidRPr="004F1F82">
        <w:rPr>
          <w:rFonts w:ascii="Arial" w:hAnsi="Arial" w:cs="Arial"/>
          <w:sz w:val="20"/>
          <w:szCs w:val="20"/>
        </w:rPr>
        <w:t>Toxo</w:t>
      </w:r>
      <w:proofErr w:type="spellEnd"/>
      <w:r w:rsidRPr="004F1F82">
        <w:rPr>
          <w:rFonts w:ascii="Arial" w:hAnsi="Arial" w:cs="Arial"/>
          <w:sz w:val="20"/>
          <w:szCs w:val="20"/>
        </w:rPr>
        <w:t xml:space="preserve"> and Others v. Greece, no. 74989/01, § 37, ECHR 2005-X (extracts) and </w:t>
      </w:r>
      <w:proofErr w:type="spellStart"/>
      <w:r w:rsidRPr="004F1F82">
        <w:rPr>
          <w:rFonts w:ascii="Arial" w:hAnsi="Arial" w:cs="Arial"/>
          <w:sz w:val="20"/>
          <w:szCs w:val="20"/>
        </w:rPr>
        <w:t>Protopapa</w:t>
      </w:r>
      <w:proofErr w:type="spellEnd"/>
      <w:r w:rsidRPr="004F1F82">
        <w:rPr>
          <w:rFonts w:ascii="Arial" w:hAnsi="Arial" w:cs="Arial"/>
          <w:sz w:val="20"/>
          <w:szCs w:val="20"/>
        </w:rPr>
        <w:t xml:space="preserve"> v. Turkey, no. 16084/90, § 108, 24 February 2009.</w:t>
      </w:r>
    </w:p>
  </w:footnote>
  <w:footnote w:id="69">
    <w:p w14:paraId="0A5E6501" w14:textId="034A2C0F"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H and others against EULEX</w:t>
      </w:r>
      <w:r w:rsidRPr="004F1F82">
        <w:rPr>
          <w:rFonts w:ascii="Arial" w:hAnsi="Arial" w:cs="Arial"/>
          <w:sz w:val="20"/>
          <w:szCs w:val="20"/>
        </w:rPr>
        <w:t xml:space="preserve">, 30 September 2013, pars 47 </w:t>
      </w:r>
      <w:r w:rsidRPr="004F1F82">
        <w:rPr>
          <w:rFonts w:ascii="Arial" w:hAnsi="Arial" w:cs="Arial"/>
          <w:i/>
          <w:sz w:val="20"/>
          <w:szCs w:val="20"/>
        </w:rPr>
        <w:t>et seq</w:t>
      </w:r>
      <w:r w:rsidRPr="004F1F82">
        <w:rPr>
          <w:rFonts w:ascii="Arial" w:hAnsi="Arial" w:cs="Arial"/>
          <w:sz w:val="20"/>
          <w:szCs w:val="20"/>
        </w:rPr>
        <w:t xml:space="preserve">. See also </w:t>
      </w:r>
      <w:r w:rsidRPr="004F1F82">
        <w:rPr>
          <w:rFonts w:ascii="Arial" w:hAnsi="Arial" w:cs="Arial"/>
          <w:i/>
          <w:sz w:val="20"/>
          <w:szCs w:val="20"/>
        </w:rPr>
        <w:t>A and others against EULEX,</w:t>
      </w:r>
      <w:r w:rsidRPr="004F1F82">
        <w:rPr>
          <w:rFonts w:ascii="Arial" w:hAnsi="Arial" w:cs="Arial"/>
          <w:sz w:val="20"/>
          <w:szCs w:val="20"/>
        </w:rPr>
        <w:t xml:space="preserve"> 20 June 2013, par 57 (“In the present case the complainants’ bus was attacked by private parties. It has not been shown or argued that EULEX police were present at the scene of the incident complained of. However, it is precisely the absence of EULEX police at the scene and the absence of the necessary foresight which gives rise to concern. The Panel notes that EULEX provided conflicting figures regarding the number of EULEX officers who were on duty at the </w:t>
      </w:r>
      <w:proofErr w:type="spellStart"/>
      <w:r w:rsidRPr="004F1F82">
        <w:rPr>
          <w:rFonts w:ascii="Arial" w:hAnsi="Arial" w:cs="Arial"/>
          <w:sz w:val="20"/>
          <w:szCs w:val="20"/>
        </w:rPr>
        <w:t>Vidovdan</w:t>
      </w:r>
      <w:proofErr w:type="spellEnd"/>
      <w:r w:rsidRPr="004F1F82">
        <w:rPr>
          <w:rFonts w:ascii="Arial" w:hAnsi="Arial" w:cs="Arial"/>
          <w:sz w:val="20"/>
          <w:szCs w:val="20"/>
        </w:rPr>
        <w:t xml:space="preserve"> events and their whereabouts at same,”).</w:t>
      </w:r>
    </w:p>
  </w:footnote>
  <w:footnote w:id="70">
    <w:p w14:paraId="688AB335" w14:textId="44F6FCE0"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A and others against EULEX, 20 June 2013, par 55, referring to: </w:t>
      </w:r>
      <w:proofErr w:type="spellStart"/>
      <w:r w:rsidRPr="004F1F82">
        <w:rPr>
          <w:rFonts w:ascii="Arial" w:hAnsi="Arial" w:cs="Arial"/>
          <w:sz w:val="20"/>
          <w:szCs w:val="20"/>
        </w:rPr>
        <w:t>Oya</w:t>
      </w:r>
      <w:proofErr w:type="spellEnd"/>
      <w:r w:rsidRPr="004F1F82">
        <w:rPr>
          <w:rFonts w:ascii="Arial" w:hAnsi="Arial" w:cs="Arial"/>
          <w:sz w:val="20"/>
          <w:szCs w:val="20"/>
        </w:rPr>
        <w:t xml:space="preserve"> Ataman v. Turkey, cited above, § 39.</w:t>
      </w:r>
    </w:p>
  </w:footnote>
  <w:footnote w:id="71">
    <w:p w14:paraId="413839FD" w14:textId="2658EDF6"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A and others against EULEX, 20 June 2013, par 56.</w:t>
      </w:r>
    </w:p>
  </w:footnote>
  <w:footnote w:id="72">
    <w:p w14:paraId="6636A50A" w14:textId="50B1D734"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H and others against EULEX</w:t>
      </w:r>
      <w:r w:rsidRPr="004F1F82">
        <w:rPr>
          <w:rFonts w:ascii="Arial" w:hAnsi="Arial" w:cs="Arial"/>
          <w:sz w:val="20"/>
          <w:szCs w:val="20"/>
        </w:rPr>
        <w:t xml:space="preserve">, 30 September 2013, pars 47 </w:t>
      </w:r>
      <w:r w:rsidRPr="004F1F82">
        <w:rPr>
          <w:rFonts w:ascii="Arial" w:hAnsi="Arial" w:cs="Arial"/>
          <w:i/>
          <w:sz w:val="20"/>
          <w:szCs w:val="20"/>
        </w:rPr>
        <w:t>et seq</w:t>
      </w:r>
      <w:r w:rsidRPr="004F1F82">
        <w:rPr>
          <w:rFonts w:ascii="Arial" w:hAnsi="Arial" w:cs="Arial"/>
          <w:sz w:val="20"/>
          <w:szCs w:val="20"/>
        </w:rPr>
        <w:t xml:space="preserve">. See also </w:t>
      </w:r>
      <w:r w:rsidRPr="004F1F82">
        <w:rPr>
          <w:rFonts w:ascii="Arial" w:hAnsi="Arial" w:cs="Arial"/>
          <w:i/>
          <w:sz w:val="20"/>
          <w:szCs w:val="20"/>
        </w:rPr>
        <w:t>A and others against EULEX</w:t>
      </w:r>
      <w:r w:rsidRPr="004F1F82">
        <w:rPr>
          <w:rFonts w:ascii="Arial" w:hAnsi="Arial" w:cs="Arial"/>
          <w:sz w:val="20"/>
          <w:szCs w:val="20"/>
        </w:rPr>
        <w:t>, 30 June 2013, pars 58-60 and finding, at par 61, that “[t]he inadequacy of resources allocated by EULEX to this operation contributed to the three complainants being denied the full and effective enjoyment of their right to respect to private life, their freedom of assembly as well as their right to exercise their religion safely and without unnecessary hindrance.”</w:t>
      </w:r>
    </w:p>
  </w:footnote>
  <w:footnote w:id="73">
    <w:p w14:paraId="5C9F1041" w14:textId="1AAA1835"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Ibid</w:t>
      </w:r>
      <w:r w:rsidRPr="004F1F82">
        <w:rPr>
          <w:rFonts w:ascii="Arial" w:hAnsi="Arial" w:cs="Arial"/>
          <w:sz w:val="20"/>
          <w:szCs w:val="20"/>
        </w:rPr>
        <w:t xml:space="preserve">, par 52. See also </w:t>
      </w:r>
      <w:r w:rsidRPr="004F1F82">
        <w:rPr>
          <w:rFonts w:ascii="Arial" w:hAnsi="Arial" w:cs="Arial"/>
          <w:i/>
          <w:sz w:val="20"/>
          <w:szCs w:val="20"/>
        </w:rPr>
        <w:t>A and others against EULEX</w:t>
      </w:r>
      <w:r w:rsidRPr="004F1F82">
        <w:rPr>
          <w:rFonts w:ascii="Arial" w:hAnsi="Arial" w:cs="Arial"/>
          <w:sz w:val="20"/>
          <w:szCs w:val="20"/>
        </w:rPr>
        <w:t>, 30 June 2013, par 64.</w:t>
      </w:r>
    </w:p>
  </w:footnote>
  <w:footnote w:id="74">
    <w:p w14:paraId="0774E73D" w14:textId="089EB168"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Ibid</w:t>
      </w:r>
      <w:r w:rsidRPr="004F1F82">
        <w:rPr>
          <w:rFonts w:ascii="Arial" w:hAnsi="Arial" w:cs="Arial"/>
          <w:sz w:val="20"/>
          <w:szCs w:val="20"/>
        </w:rPr>
        <w:t xml:space="preserve">, par 53. See also </w:t>
      </w:r>
      <w:r w:rsidRPr="004F1F82">
        <w:rPr>
          <w:rFonts w:ascii="Arial" w:hAnsi="Arial" w:cs="Arial"/>
          <w:i/>
          <w:sz w:val="20"/>
          <w:szCs w:val="20"/>
        </w:rPr>
        <w:t>A and others against EULEX</w:t>
      </w:r>
      <w:r w:rsidRPr="004F1F82">
        <w:rPr>
          <w:rFonts w:ascii="Arial" w:hAnsi="Arial" w:cs="Arial"/>
          <w:sz w:val="20"/>
          <w:szCs w:val="20"/>
        </w:rPr>
        <w:t>, 30 June 2013, par 65.</w:t>
      </w:r>
    </w:p>
  </w:footnote>
  <w:footnote w:id="75">
    <w:p w14:paraId="2AB3778F" w14:textId="633562C0"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again, </w:t>
      </w:r>
      <w:r w:rsidRPr="004F1F82">
        <w:rPr>
          <w:rFonts w:ascii="Arial" w:hAnsi="Arial" w:cs="Arial"/>
          <w:i/>
          <w:sz w:val="20"/>
          <w:szCs w:val="20"/>
        </w:rPr>
        <w:t>A and Others against EULEX</w:t>
      </w:r>
      <w:r w:rsidRPr="004F1F82">
        <w:rPr>
          <w:rFonts w:ascii="Arial" w:hAnsi="Arial" w:cs="Arial"/>
          <w:sz w:val="20"/>
          <w:szCs w:val="20"/>
        </w:rPr>
        <w:t xml:space="preserve">, 30 June 2013; </w:t>
      </w:r>
      <w:r w:rsidRPr="004F1F82">
        <w:rPr>
          <w:rFonts w:ascii="Arial" w:hAnsi="Arial" w:cs="Arial"/>
          <w:i/>
          <w:sz w:val="20"/>
          <w:szCs w:val="20"/>
        </w:rPr>
        <w:t>H and others against EULEX</w:t>
      </w:r>
      <w:r w:rsidRPr="004F1F82">
        <w:rPr>
          <w:rFonts w:ascii="Arial" w:hAnsi="Arial" w:cs="Arial"/>
          <w:sz w:val="20"/>
          <w:szCs w:val="20"/>
        </w:rPr>
        <w:t>, 30 September 2013.</w:t>
      </w:r>
    </w:p>
  </w:footnote>
  <w:footnote w:id="76">
    <w:p w14:paraId="1D4C486C" w14:textId="484132F5" w:rsidR="00881CFD" w:rsidRPr="004F1F82" w:rsidRDefault="00881CFD"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hyperlink r:id="rId4" w:tgtFrame="_blank" w:history="1">
        <w:proofErr w:type="spellStart"/>
        <w:r w:rsidRPr="004F1F82">
          <w:rPr>
            <w:rStyle w:val="Hyperlink"/>
            <w:rFonts w:ascii="Arial" w:hAnsi="Arial" w:cs="Arial"/>
            <w:i/>
            <w:iCs/>
            <w:color w:val="E86E0B"/>
            <w:sz w:val="20"/>
            <w:szCs w:val="20"/>
          </w:rPr>
          <w:t>Stanisic</w:t>
        </w:r>
        <w:proofErr w:type="spellEnd"/>
        <w:r w:rsidRPr="004F1F82">
          <w:rPr>
            <w:rStyle w:val="Hyperlink"/>
            <w:rFonts w:ascii="Arial" w:hAnsi="Arial" w:cs="Arial"/>
            <w:i/>
            <w:iCs/>
            <w:color w:val="E86E0B"/>
            <w:sz w:val="20"/>
            <w:szCs w:val="20"/>
          </w:rPr>
          <w:t xml:space="preserve"> against EULEX</w:t>
        </w:r>
      </w:hyperlink>
      <w:r w:rsidRPr="004F1F82">
        <w:rPr>
          <w:rStyle w:val="Emphasis"/>
          <w:rFonts w:ascii="Arial" w:hAnsi="Arial" w:cs="Arial"/>
          <w:color w:val="000000"/>
          <w:sz w:val="20"/>
          <w:szCs w:val="20"/>
        </w:rPr>
        <w:t>, </w:t>
      </w:r>
      <w:r w:rsidRPr="004F1F82">
        <w:rPr>
          <w:rFonts w:ascii="Arial" w:hAnsi="Arial" w:cs="Arial"/>
          <w:color w:val="000000"/>
          <w:sz w:val="20"/>
          <w:szCs w:val="20"/>
        </w:rPr>
        <w:t>2012-22, 11 November 2015,</w:t>
      </w:r>
      <w:r w:rsidRPr="004F1F82">
        <w:rPr>
          <w:rFonts w:ascii="Arial" w:hAnsi="Arial" w:cs="Arial"/>
          <w:color w:val="000000"/>
          <w:sz w:val="20"/>
          <w:szCs w:val="20"/>
        </w:rPr>
        <w:t xml:space="preserve"> par 62 (“</w:t>
      </w:r>
      <w:r w:rsidRPr="004F1F82">
        <w:rPr>
          <w:rFonts w:ascii="Arial" w:hAnsi="Arial" w:cs="Arial"/>
          <w:sz w:val="20"/>
          <w:szCs w:val="20"/>
        </w:rPr>
        <w:t xml:space="preserve">The Panel notes that the existence of an actual breach of another substantive provision of the Convention is not a prerequisite for the application of this Article (see the </w:t>
      </w:r>
      <w:proofErr w:type="spellStart"/>
      <w:r w:rsidRPr="004F1F82">
        <w:rPr>
          <w:rFonts w:ascii="Arial" w:hAnsi="Arial" w:cs="Arial"/>
          <w:sz w:val="20"/>
          <w:szCs w:val="20"/>
        </w:rPr>
        <w:t>Klass</w:t>
      </w:r>
      <w:proofErr w:type="spellEnd"/>
      <w:r w:rsidRPr="004F1F82">
        <w:rPr>
          <w:rFonts w:ascii="Arial" w:hAnsi="Arial" w:cs="Arial"/>
          <w:sz w:val="20"/>
          <w:szCs w:val="20"/>
        </w:rPr>
        <w:t xml:space="preserve"> and Others against Germany judgment of 6 September 1978, Series A no. 28, p. 29, § 64), provided that their grievances under these provisions can be regarded as "arguable" in terms of the Convention (see, for instance, Boyle and Rice v. the United Kingdom judgment of 27 April 1988, Series A no. 131, p. 23, § 52, Costello-Roberts v. the United Kingdom, cited above, § 39).”). in particular, the fact that a substantive claim is declared inadmissible does not necessarily exclude the operation of that right. Ibid, par 62, referring to: I.M. v. France, no. 9152/09, § 103, 2 February 2012; Gebremedhin [</w:t>
      </w:r>
      <w:proofErr w:type="spellStart"/>
      <w:r w:rsidRPr="004F1F82">
        <w:rPr>
          <w:rFonts w:ascii="Arial" w:hAnsi="Arial" w:cs="Arial"/>
          <w:sz w:val="20"/>
          <w:szCs w:val="20"/>
        </w:rPr>
        <w:t>Gaberamadhien</w:t>
      </w:r>
      <w:proofErr w:type="spellEnd"/>
      <w:r w:rsidRPr="004F1F82">
        <w:rPr>
          <w:rFonts w:ascii="Arial" w:hAnsi="Arial" w:cs="Arial"/>
          <w:sz w:val="20"/>
          <w:szCs w:val="20"/>
        </w:rPr>
        <w:t xml:space="preserve">] v. France, no. 25389/05, §§ 55-56, ECHR 2007-II; and M.A. v. Cyprus, , no. 41872/10, §§ 119-121, ECHR 2013; </w:t>
      </w:r>
      <w:proofErr w:type="spellStart"/>
      <w:r w:rsidRPr="004F1F82">
        <w:rPr>
          <w:rFonts w:ascii="Arial" w:hAnsi="Arial" w:cs="Arial"/>
          <w:sz w:val="20"/>
          <w:szCs w:val="20"/>
        </w:rPr>
        <w:t>Asalya</w:t>
      </w:r>
      <w:proofErr w:type="spellEnd"/>
      <w:r w:rsidRPr="004F1F82">
        <w:rPr>
          <w:rFonts w:ascii="Arial" w:hAnsi="Arial" w:cs="Arial"/>
          <w:sz w:val="20"/>
          <w:szCs w:val="20"/>
        </w:rPr>
        <w:t xml:space="preserve"> v. Turkey, no. 43875/09, § 97, 15 April 2014).</w:t>
      </w:r>
    </w:p>
  </w:footnote>
  <w:footnote w:id="77">
    <w:p w14:paraId="6D3DED55" w14:textId="3FAF4639" w:rsidR="00881CFD" w:rsidRPr="004F1F82" w:rsidRDefault="00881CFD"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Stanisic</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Case No. </w:t>
      </w:r>
      <w:r w:rsidRPr="004F1F82">
        <w:rPr>
          <w:rFonts w:ascii="Arial" w:hAnsi="Arial" w:cs="Arial"/>
          <w:color w:val="000000"/>
          <w:sz w:val="20"/>
          <w:szCs w:val="20"/>
        </w:rPr>
        <w:t>2012-22, 11 November 2015, par 6</w:t>
      </w:r>
      <w:r w:rsidRPr="004F1F82">
        <w:rPr>
          <w:rFonts w:ascii="Arial" w:hAnsi="Arial" w:cs="Arial"/>
          <w:color w:val="000000"/>
          <w:sz w:val="20"/>
          <w:szCs w:val="20"/>
        </w:rPr>
        <w:t xml:space="preserve">3, referring to: </w:t>
      </w:r>
      <w:proofErr w:type="spellStart"/>
      <w:r w:rsidRPr="004F1F82">
        <w:rPr>
          <w:rFonts w:ascii="Arial" w:hAnsi="Arial" w:cs="Arial"/>
          <w:sz w:val="20"/>
          <w:szCs w:val="20"/>
        </w:rPr>
        <w:t>Aksoy</w:t>
      </w:r>
      <w:proofErr w:type="spellEnd"/>
      <w:r w:rsidRPr="004F1F82">
        <w:rPr>
          <w:rFonts w:ascii="Arial" w:hAnsi="Arial" w:cs="Arial"/>
          <w:sz w:val="20"/>
          <w:szCs w:val="20"/>
        </w:rPr>
        <w:t xml:space="preserve"> v. Turkey judgment of 18 December 1996, Reports 1996-VI, p. 2286, § 95; the </w:t>
      </w:r>
      <w:proofErr w:type="spellStart"/>
      <w:r w:rsidRPr="004F1F82">
        <w:rPr>
          <w:rFonts w:ascii="Arial" w:hAnsi="Arial" w:cs="Arial"/>
          <w:sz w:val="20"/>
          <w:szCs w:val="20"/>
        </w:rPr>
        <w:t>Aydın</w:t>
      </w:r>
      <w:proofErr w:type="spellEnd"/>
      <w:r w:rsidRPr="004F1F82">
        <w:rPr>
          <w:rFonts w:ascii="Arial" w:hAnsi="Arial" w:cs="Arial"/>
          <w:sz w:val="20"/>
          <w:szCs w:val="20"/>
        </w:rPr>
        <w:t xml:space="preserve"> v. Turkey judgment of 25 September 1997, Repo</w:t>
      </w:r>
      <w:r w:rsidRPr="004F1F82">
        <w:rPr>
          <w:rFonts w:ascii="Arial" w:hAnsi="Arial" w:cs="Arial"/>
          <w:sz w:val="20"/>
          <w:szCs w:val="20"/>
        </w:rPr>
        <w:t>rts 1997-VI, pp. 1895-96, § 103.</w:t>
      </w:r>
    </w:p>
  </w:footnote>
  <w:footnote w:id="78">
    <w:p w14:paraId="65519988" w14:textId="2AADF4AC" w:rsidR="00051E96" w:rsidRPr="004F1F82" w:rsidRDefault="00051E96"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in relation to an inadequate relief: </w:t>
      </w:r>
      <w:proofErr w:type="spellStart"/>
      <w:r w:rsidRPr="004F1F82">
        <w:rPr>
          <w:rFonts w:ascii="Arial" w:hAnsi="Arial" w:cs="Arial"/>
          <w:i/>
          <w:sz w:val="20"/>
          <w:szCs w:val="20"/>
        </w:rPr>
        <w:t>Becic</w:t>
      </w:r>
      <w:proofErr w:type="spellEnd"/>
      <w:r w:rsidRPr="004F1F82">
        <w:rPr>
          <w:rFonts w:ascii="Arial" w:hAnsi="Arial" w:cs="Arial"/>
          <w:i/>
          <w:sz w:val="20"/>
          <w:szCs w:val="20"/>
        </w:rPr>
        <w:t xml:space="preserve"> Against EULEX</w:t>
      </w:r>
      <w:r w:rsidRPr="004F1F82">
        <w:rPr>
          <w:rFonts w:ascii="Arial" w:hAnsi="Arial" w:cs="Arial"/>
          <w:sz w:val="20"/>
          <w:szCs w:val="20"/>
        </w:rPr>
        <w:t>, Case No. 2013-03, 12 November 2014, par 58 (“</w:t>
      </w:r>
      <w:r w:rsidRPr="004F1F82">
        <w:rPr>
          <w:rFonts w:ascii="Arial" w:hAnsi="Arial" w:cs="Arial"/>
          <w:sz w:val="20"/>
          <w:szCs w:val="20"/>
        </w:rPr>
        <w:t>While EULEX commends the actions taken by the EULEX Property Rights Coordinator, it stresses, that those do not constitute an effective remedy and do not replace a thorough assessment by EULEX prosecutors, especially as the EULEX Property Rights Coordinator has mainly a coordinating role but no executive powers.</w:t>
      </w:r>
      <w:r w:rsidRPr="004F1F82">
        <w:rPr>
          <w:rFonts w:ascii="Arial" w:hAnsi="Arial" w:cs="Arial"/>
          <w:sz w:val="20"/>
          <w:szCs w:val="20"/>
        </w:rPr>
        <w:t>’).</w:t>
      </w:r>
    </w:p>
  </w:footnote>
  <w:footnote w:id="79">
    <w:p w14:paraId="7EAA6FA8" w14:textId="0B085128" w:rsidR="00881CFD" w:rsidRPr="004F1F82" w:rsidRDefault="00881CFD"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Stanisic</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Case No. </w:t>
      </w:r>
      <w:r w:rsidRPr="004F1F82">
        <w:rPr>
          <w:rFonts w:ascii="Arial" w:hAnsi="Arial" w:cs="Arial"/>
          <w:color w:val="000000"/>
          <w:sz w:val="20"/>
          <w:szCs w:val="20"/>
        </w:rPr>
        <w:t>2012-22, 11 November 2015, par</w:t>
      </w:r>
      <w:r w:rsidRPr="004F1F82">
        <w:rPr>
          <w:rFonts w:ascii="Arial" w:hAnsi="Arial" w:cs="Arial"/>
          <w:color w:val="000000"/>
          <w:sz w:val="20"/>
          <w:szCs w:val="20"/>
        </w:rPr>
        <w:t xml:space="preserve"> 63</w:t>
      </w:r>
      <w:r w:rsidRPr="004F1F82">
        <w:rPr>
          <w:rFonts w:ascii="Arial" w:hAnsi="Arial" w:cs="Arial"/>
          <w:sz w:val="20"/>
          <w:szCs w:val="20"/>
        </w:rPr>
        <w:t xml:space="preserve">, referring to: </w:t>
      </w:r>
      <w:r w:rsidRPr="004F1F82">
        <w:rPr>
          <w:rFonts w:ascii="Arial" w:hAnsi="Arial" w:cs="Arial"/>
          <w:sz w:val="20"/>
          <w:szCs w:val="20"/>
        </w:rPr>
        <w:t>D.P. and J.C. v. the United Kingdom, no. 38719/97, § 135, 10 October 2002</w:t>
      </w:r>
      <w:r w:rsidRPr="004F1F82">
        <w:rPr>
          <w:rFonts w:ascii="Arial" w:hAnsi="Arial" w:cs="Arial"/>
          <w:sz w:val="20"/>
          <w:szCs w:val="20"/>
        </w:rPr>
        <w:t xml:space="preserve">. </w:t>
      </w:r>
    </w:p>
  </w:footnote>
  <w:footnote w:id="80">
    <w:p w14:paraId="1BBC2571" w14:textId="7B43B24C" w:rsidR="00881CFD" w:rsidRPr="004F1F82" w:rsidRDefault="00881CFD"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Stanisic</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Case No. </w:t>
      </w:r>
      <w:r w:rsidRPr="004F1F82">
        <w:rPr>
          <w:rFonts w:ascii="Arial" w:hAnsi="Arial" w:cs="Arial"/>
          <w:color w:val="000000"/>
          <w:sz w:val="20"/>
          <w:szCs w:val="20"/>
        </w:rPr>
        <w:t>2012-22, 11 November 2015, par 63</w:t>
      </w:r>
      <w:r w:rsidRPr="004F1F82">
        <w:rPr>
          <w:rFonts w:ascii="Arial" w:hAnsi="Arial" w:cs="Arial"/>
          <w:sz w:val="20"/>
          <w:szCs w:val="20"/>
        </w:rPr>
        <w:t xml:space="preserve">, </w:t>
      </w:r>
      <w:r w:rsidRPr="004F1F82">
        <w:rPr>
          <w:rFonts w:ascii="Arial" w:hAnsi="Arial" w:cs="Arial"/>
          <w:sz w:val="20"/>
          <w:szCs w:val="20"/>
        </w:rPr>
        <w:t xml:space="preserve">referring to: </w:t>
      </w:r>
      <w:r w:rsidRPr="004F1F82">
        <w:rPr>
          <w:rFonts w:ascii="Arial" w:hAnsi="Arial" w:cs="Arial"/>
          <w:sz w:val="20"/>
          <w:szCs w:val="20"/>
        </w:rPr>
        <w:t>O’Keeffe v. Ireland [GC], no. 35810/09, § 177, ECHR 2014</w:t>
      </w:r>
      <w:r w:rsidRPr="004F1F82">
        <w:rPr>
          <w:rFonts w:ascii="Arial" w:hAnsi="Arial" w:cs="Arial"/>
          <w:sz w:val="20"/>
          <w:szCs w:val="20"/>
        </w:rPr>
        <w:t>.</w:t>
      </w:r>
    </w:p>
  </w:footnote>
  <w:footnote w:id="81">
    <w:p w14:paraId="38676E3F" w14:textId="0E91EB28"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Zahiti</w:t>
      </w:r>
      <w:proofErr w:type="spellEnd"/>
      <w:r w:rsidRPr="004F1F82">
        <w:rPr>
          <w:rFonts w:ascii="Arial" w:hAnsi="Arial" w:cs="Arial"/>
          <w:i/>
          <w:sz w:val="20"/>
          <w:szCs w:val="20"/>
        </w:rPr>
        <w:t xml:space="preserve"> against EULEX</w:t>
      </w:r>
      <w:r w:rsidRPr="004F1F82">
        <w:rPr>
          <w:rFonts w:ascii="Arial" w:hAnsi="Arial" w:cs="Arial"/>
          <w:sz w:val="20"/>
          <w:szCs w:val="20"/>
        </w:rPr>
        <w:t>, Case No. 2</w:t>
      </w:r>
      <w:r w:rsidR="00881CFD" w:rsidRPr="004F1F82">
        <w:rPr>
          <w:rFonts w:ascii="Arial" w:hAnsi="Arial" w:cs="Arial"/>
          <w:sz w:val="20"/>
          <w:szCs w:val="20"/>
        </w:rPr>
        <w:t>012-14, 4 February 2014, par 59.</w:t>
      </w:r>
    </w:p>
  </w:footnote>
  <w:footnote w:id="82">
    <w:p w14:paraId="1E54FA95" w14:textId="506649DC"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60, referring to: </w:t>
      </w:r>
      <w:proofErr w:type="spellStart"/>
      <w:r w:rsidRPr="004F1F82">
        <w:rPr>
          <w:rFonts w:ascii="Arial" w:hAnsi="Arial" w:cs="Arial"/>
          <w:i/>
          <w:sz w:val="20"/>
          <w:szCs w:val="20"/>
        </w:rPr>
        <w:t>Kudła</w:t>
      </w:r>
      <w:proofErr w:type="spellEnd"/>
      <w:r w:rsidRPr="004F1F82">
        <w:rPr>
          <w:rFonts w:ascii="Arial" w:hAnsi="Arial" w:cs="Arial"/>
          <w:i/>
          <w:sz w:val="20"/>
          <w:szCs w:val="20"/>
        </w:rPr>
        <w:t xml:space="preserve"> v Poland, </w:t>
      </w:r>
      <w:r w:rsidRPr="004F1F82">
        <w:rPr>
          <w:rFonts w:ascii="Arial" w:hAnsi="Arial" w:cs="Arial"/>
          <w:sz w:val="20"/>
          <w:szCs w:val="20"/>
        </w:rPr>
        <w:t>no. 30210/96, judgment of 26 October 2000, par 157.</w:t>
      </w:r>
    </w:p>
  </w:footnote>
  <w:footnote w:id="83">
    <w:p w14:paraId="6A8F1DBA" w14:textId="5F71C650"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62 (“</w:t>
      </w:r>
      <w:r w:rsidRPr="004F1F82">
        <w:rPr>
          <w:rFonts w:ascii="Arial" w:hAnsi="Arial" w:cs="Arial"/>
          <w:sz w:val="20"/>
          <w:szCs w:val="20"/>
          <w:lang w:val="en-GB"/>
        </w:rPr>
        <w:t xml:space="preserve">The Court recognised that a right to relief would exist where the victim’s claim </w:t>
      </w:r>
      <w:r w:rsidRPr="004F1F82">
        <w:rPr>
          <w:rFonts w:ascii="Arial" w:hAnsi="Arial" w:cs="Arial"/>
          <w:sz w:val="20"/>
          <w:szCs w:val="20"/>
        </w:rPr>
        <w:t xml:space="preserve">is ‘arguable’ (see, among many other authorities, </w:t>
      </w:r>
      <w:r w:rsidRPr="004F1F82">
        <w:rPr>
          <w:rFonts w:ascii="Arial" w:hAnsi="Arial" w:cs="Arial"/>
          <w:i/>
          <w:sz w:val="20"/>
          <w:szCs w:val="20"/>
        </w:rPr>
        <w:t>Silver and others v. UK</w:t>
      </w:r>
      <w:r w:rsidRPr="004F1F82">
        <w:rPr>
          <w:rFonts w:ascii="Arial" w:hAnsi="Arial" w:cs="Arial"/>
          <w:sz w:val="20"/>
          <w:szCs w:val="20"/>
        </w:rPr>
        <w:t xml:space="preserve">, no. 5947/72, judgment of 25 March 1983 at par. 113; </w:t>
      </w:r>
      <w:r w:rsidRPr="004F1F82">
        <w:rPr>
          <w:rStyle w:val="s6b621b36"/>
          <w:rFonts w:ascii="Arial" w:hAnsi="Arial" w:cs="Arial"/>
          <w:i/>
          <w:sz w:val="20"/>
          <w:szCs w:val="20"/>
        </w:rPr>
        <w:t>Boyle and Rice v. UK</w:t>
      </w:r>
      <w:r w:rsidRPr="004F1F82">
        <w:rPr>
          <w:rStyle w:val="sb8d990e2"/>
          <w:rFonts w:ascii="Arial" w:hAnsi="Arial" w:cs="Arial"/>
          <w:sz w:val="20"/>
          <w:szCs w:val="20"/>
        </w:rPr>
        <w:t>, 27 April 1988, § 52, Series A no. 131</w:t>
      </w:r>
      <w:r w:rsidRPr="004F1F82">
        <w:rPr>
          <w:rFonts w:ascii="Arial" w:hAnsi="Arial" w:cs="Arial"/>
          <w:sz w:val="20"/>
          <w:szCs w:val="20"/>
        </w:rPr>
        <w:t>).”).</w:t>
      </w:r>
    </w:p>
  </w:footnote>
  <w:footnote w:id="84">
    <w:p w14:paraId="431B8AA5" w14:textId="034C650E"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64 (“</w:t>
      </w:r>
      <w:r w:rsidRPr="004F1F82">
        <w:rPr>
          <w:rFonts w:ascii="Arial" w:hAnsi="Arial" w:cs="Arial"/>
          <w:sz w:val="20"/>
          <w:szCs w:val="20"/>
          <w:lang w:val="en-GB"/>
        </w:rPr>
        <w:t>The Panel is well aware that the notion of an effective remedy when applied in the context of a mission led by an international organisation cannot be construed in the same way as in the context of a national state.  However, it needs to assess, having regard to the specificity of the legal situation of EULEX in that it enjoyed immunity and cases against its officials could not be directly pursued before the Kosovo courts, whether it addressed the complainant’s situation in a manner compatible with at least the minimum procedural requirements compatible with the notion of an effective remedy.”).</w:t>
      </w:r>
    </w:p>
  </w:footnote>
  <w:footnote w:id="85">
    <w:p w14:paraId="48A01AEA" w14:textId="7AFC0624" w:rsidR="00051E96" w:rsidRPr="004F1F82" w:rsidRDefault="00051E96"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Becic</w:t>
      </w:r>
      <w:proofErr w:type="spellEnd"/>
      <w:r w:rsidRPr="004F1F82">
        <w:rPr>
          <w:rFonts w:ascii="Arial" w:hAnsi="Arial" w:cs="Arial"/>
          <w:i/>
          <w:sz w:val="20"/>
          <w:szCs w:val="20"/>
        </w:rPr>
        <w:t xml:space="preserve"> Against EULEX</w:t>
      </w:r>
      <w:r w:rsidRPr="004F1F82">
        <w:rPr>
          <w:rFonts w:ascii="Arial" w:hAnsi="Arial" w:cs="Arial"/>
          <w:sz w:val="20"/>
          <w:szCs w:val="20"/>
        </w:rPr>
        <w:t>, Case No. 2013-03, 12 November 2014, par 59 (“The fact that the judicial mechanisms in Kosovo ultimately functioned which led to the sentencing of the usurper and the restitution of the complainants’ property does not absolve EULEX Kosovo from its own obligations, in particular, its obligation to diligently record and, in turn, duly register grievances formally brought and communicate them to the competent bodies within the mission. In the present case the failure to do so precluded a timely assessment of the case by EULEX.”)</w:t>
      </w:r>
      <w:r w:rsidRPr="004F1F82">
        <w:rPr>
          <w:rFonts w:ascii="Arial" w:hAnsi="Arial" w:cs="Arial"/>
          <w:sz w:val="20"/>
          <w:szCs w:val="20"/>
        </w:rPr>
        <w:t>.</w:t>
      </w:r>
    </w:p>
  </w:footnote>
  <w:footnote w:id="86">
    <w:p w14:paraId="56CF7D65" w14:textId="2CD0CFA4" w:rsidR="00051E96" w:rsidRPr="004F1F82" w:rsidRDefault="00051E96"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60.</w:t>
      </w:r>
    </w:p>
  </w:footnote>
  <w:footnote w:id="87">
    <w:p w14:paraId="744DCEE1" w14:textId="2EAEECBA" w:rsidR="00F868D9" w:rsidRPr="004F1F82" w:rsidRDefault="00F868D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color w:val="000000"/>
          <w:sz w:val="20"/>
          <w:szCs w:val="20"/>
        </w:rPr>
        <w:t>X and 115 Others Against EULEX</w:t>
      </w:r>
      <w:r w:rsidRPr="004F1F82">
        <w:rPr>
          <w:rFonts w:ascii="Arial" w:hAnsi="Arial" w:cs="Arial"/>
          <w:color w:val="000000"/>
          <w:sz w:val="20"/>
          <w:szCs w:val="20"/>
        </w:rPr>
        <w:t>,</w:t>
      </w:r>
      <w:r w:rsidRPr="004F1F82">
        <w:rPr>
          <w:rFonts w:ascii="Arial" w:hAnsi="Arial" w:cs="Arial"/>
          <w:color w:val="000000"/>
          <w:sz w:val="20"/>
          <w:szCs w:val="20"/>
        </w:rPr>
        <w:t xml:space="preserve"> </w:t>
      </w:r>
      <w:r w:rsidRPr="004F1F82">
        <w:rPr>
          <w:rFonts w:ascii="Arial" w:hAnsi="Arial" w:cs="Arial"/>
          <w:color w:val="000000"/>
          <w:sz w:val="20"/>
          <w:szCs w:val="20"/>
        </w:rPr>
        <w:t>Case No. 2011-20,</w:t>
      </w:r>
      <w:r w:rsidRPr="004F1F82">
        <w:rPr>
          <w:rFonts w:ascii="Arial" w:hAnsi="Arial" w:cs="Arial"/>
          <w:color w:val="000000"/>
          <w:sz w:val="20"/>
          <w:szCs w:val="20"/>
        </w:rPr>
        <w:t xml:space="preserve"> 22 April 2015</w:t>
      </w:r>
      <w:r w:rsidRPr="004F1F82">
        <w:rPr>
          <w:rFonts w:ascii="Arial" w:hAnsi="Arial" w:cs="Arial"/>
          <w:sz w:val="20"/>
          <w:szCs w:val="20"/>
        </w:rPr>
        <w:t xml:space="preserve">, in particular, pars 59 </w:t>
      </w:r>
      <w:r w:rsidRPr="004F1F82">
        <w:rPr>
          <w:rFonts w:ascii="Arial" w:hAnsi="Arial" w:cs="Arial"/>
          <w:i/>
          <w:sz w:val="20"/>
          <w:szCs w:val="20"/>
        </w:rPr>
        <w:t xml:space="preserve">et </w:t>
      </w:r>
      <w:proofErr w:type="spellStart"/>
      <w:r w:rsidRPr="004F1F82">
        <w:rPr>
          <w:rFonts w:ascii="Arial" w:hAnsi="Arial" w:cs="Arial"/>
          <w:i/>
          <w:sz w:val="20"/>
          <w:szCs w:val="20"/>
        </w:rPr>
        <w:t>seq</w:t>
      </w:r>
      <w:proofErr w:type="spellEnd"/>
      <w:r w:rsidRPr="004F1F82">
        <w:rPr>
          <w:rFonts w:ascii="Arial" w:hAnsi="Arial" w:cs="Arial"/>
          <w:sz w:val="20"/>
          <w:szCs w:val="20"/>
        </w:rPr>
        <w:t xml:space="preserve">, pointing to the unexplained delay and unexplained postponement of the opening of an investigation into a matter of great seriousness without valid explanation. See also </w:t>
      </w:r>
      <w:r w:rsidRPr="004F1F82">
        <w:rPr>
          <w:rFonts w:ascii="Arial" w:hAnsi="Arial" w:cs="Arial"/>
          <w:i/>
          <w:sz w:val="20"/>
          <w:szCs w:val="20"/>
        </w:rPr>
        <w:t>HRRP Case-Law Note the Duty to Investigate Allegations of Violations of Rights</w:t>
      </w:r>
      <w:r w:rsidRPr="004F1F82">
        <w:rPr>
          <w:rFonts w:ascii="Arial" w:hAnsi="Arial" w:cs="Arial"/>
          <w:i/>
          <w:sz w:val="20"/>
          <w:szCs w:val="20"/>
        </w:rPr>
        <w:t xml:space="preserve"> </w:t>
      </w:r>
      <w:r w:rsidRPr="004F1F82">
        <w:rPr>
          <w:rFonts w:ascii="Arial" w:hAnsi="Arial" w:cs="Arial"/>
          <w:sz w:val="20"/>
          <w:szCs w:val="20"/>
        </w:rPr>
        <w:t xml:space="preserve">at:  </w:t>
      </w:r>
      <w:hyperlink r:id="rId5" w:history="1">
        <w:r w:rsidRPr="004F1F82">
          <w:rPr>
            <w:rStyle w:val="Hyperlink"/>
            <w:rFonts w:ascii="Arial" w:hAnsi="Arial" w:cs="Arial"/>
            <w:sz w:val="20"/>
            <w:szCs w:val="20"/>
          </w:rPr>
          <w:t>http://www.hrrp.eu/docs/Case%20law%20note%20on%20DUTY%20TO%20INVESTIGATE.pdf</w:t>
        </w:r>
      </w:hyperlink>
      <w:r w:rsidRPr="004F1F82">
        <w:rPr>
          <w:rFonts w:ascii="Arial" w:hAnsi="Arial" w:cs="Arial"/>
          <w:sz w:val="20"/>
          <w:szCs w:val="20"/>
        </w:rPr>
        <w:t xml:space="preserve">. </w:t>
      </w:r>
    </w:p>
  </w:footnote>
  <w:footnote w:id="88">
    <w:p w14:paraId="1B669235" w14:textId="084CE516" w:rsidR="00FB7270" w:rsidRPr="004F1F82" w:rsidRDefault="00FB7270"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generally, </w:t>
      </w:r>
      <w:r w:rsidRPr="004F1F82">
        <w:rPr>
          <w:rFonts w:ascii="Arial" w:hAnsi="Arial" w:cs="Arial"/>
          <w:i/>
          <w:sz w:val="20"/>
          <w:szCs w:val="20"/>
        </w:rPr>
        <w:t>L.O. Against EULEX</w:t>
      </w:r>
      <w:r w:rsidRPr="004F1F82">
        <w:rPr>
          <w:rFonts w:ascii="Arial" w:hAnsi="Arial" w:cs="Arial"/>
          <w:sz w:val="20"/>
          <w:szCs w:val="20"/>
        </w:rPr>
        <w:t>, Case No. 2014-32, 11 November 2015.</w:t>
      </w:r>
    </w:p>
  </w:footnote>
  <w:footnote w:id="89">
    <w:p w14:paraId="28B0CFF5" w14:textId="7F7DB059" w:rsidR="00FB7270" w:rsidRPr="004F1F82" w:rsidRDefault="00FB7270"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59, referring to: </w:t>
      </w:r>
      <w:proofErr w:type="spellStart"/>
      <w:r w:rsidRPr="00FB7270">
        <w:rPr>
          <w:rFonts w:ascii="Arial" w:hAnsi="Arial" w:cs="Arial"/>
          <w:sz w:val="20"/>
          <w:szCs w:val="20"/>
        </w:rPr>
        <w:t>Varnava</w:t>
      </w:r>
      <w:proofErr w:type="spellEnd"/>
      <w:r w:rsidRPr="00FB7270">
        <w:rPr>
          <w:rFonts w:ascii="Arial" w:hAnsi="Arial" w:cs="Arial"/>
          <w:sz w:val="20"/>
          <w:szCs w:val="20"/>
        </w:rPr>
        <w:t xml:space="preserve"> and Others v. Turkey [GC], quoted above, § 191; </w:t>
      </w:r>
      <w:proofErr w:type="spellStart"/>
      <w:r w:rsidRPr="00FB7270">
        <w:rPr>
          <w:rFonts w:ascii="Arial" w:hAnsi="Arial" w:cs="Arial"/>
          <w:sz w:val="20"/>
          <w:szCs w:val="20"/>
        </w:rPr>
        <w:t>Palić</w:t>
      </w:r>
      <w:proofErr w:type="spellEnd"/>
      <w:r w:rsidRPr="00FB7270">
        <w:rPr>
          <w:rFonts w:ascii="Arial" w:hAnsi="Arial" w:cs="Arial"/>
          <w:sz w:val="20"/>
          <w:szCs w:val="20"/>
        </w:rPr>
        <w:t xml:space="preserve"> v. Bosnia and Herzegovina, quoted above, § 63</w:t>
      </w:r>
      <w:r w:rsidRPr="004F1F82">
        <w:rPr>
          <w:rFonts w:ascii="Arial" w:hAnsi="Arial" w:cs="Arial"/>
          <w:sz w:val="20"/>
          <w:szCs w:val="20"/>
        </w:rPr>
        <w:t>.</w:t>
      </w:r>
    </w:p>
  </w:footnote>
  <w:footnote w:id="90">
    <w:p w14:paraId="199B14A5" w14:textId="01E08A37" w:rsidR="00060B84" w:rsidRPr="004F1F82" w:rsidRDefault="00060B84"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60.</w:t>
      </w:r>
    </w:p>
  </w:footnote>
  <w:footnote w:id="91">
    <w:p w14:paraId="5F4AD5C9" w14:textId="46356EA1" w:rsidR="00F82DCB" w:rsidRPr="004F1F82" w:rsidRDefault="00F82DCB"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61.</w:t>
      </w:r>
    </w:p>
  </w:footnote>
  <w:footnote w:id="92">
    <w:p w14:paraId="14480471" w14:textId="6D8A2EA8" w:rsidR="00CF3788" w:rsidRPr="004F1F82" w:rsidRDefault="00CF3788"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62.</w:t>
      </w:r>
    </w:p>
  </w:footnote>
  <w:footnote w:id="93">
    <w:p w14:paraId="0A95B5AA" w14:textId="69B2068B" w:rsidR="00402630" w:rsidRPr="004F1F82" w:rsidRDefault="00402630"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63.</w:t>
      </w:r>
    </w:p>
  </w:footnote>
  <w:footnote w:id="94">
    <w:p w14:paraId="31CA3465" w14:textId="19FFF3A3" w:rsidR="008B710E" w:rsidRPr="004F1F82" w:rsidRDefault="008B710E"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referring to: </w:t>
      </w:r>
      <w:r w:rsidRPr="00402630">
        <w:rPr>
          <w:rFonts w:ascii="Arial" w:hAnsi="Arial" w:cs="Arial"/>
          <w:sz w:val="20"/>
          <w:szCs w:val="20"/>
        </w:rPr>
        <w:t xml:space="preserve">Ahmet </w:t>
      </w:r>
      <w:proofErr w:type="spellStart"/>
      <w:r w:rsidRPr="00402630">
        <w:rPr>
          <w:rFonts w:ascii="Arial" w:hAnsi="Arial" w:cs="Arial"/>
          <w:sz w:val="20"/>
          <w:szCs w:val="20"/>
        </w:rPr>
        <w:t>Özkan</w:t>
      </w:r>
      <w:proofErr w:type="spellEnd"/>
      <w:r w:rsidRPr="00402630">
        <w:rPr>
          <w:rFonts w:ascii="Arial" w:hAnsi="Arial" w:cs="Arial"/>
          <w:sz w:val="20"/>
          <w:szCs w:val="20"/>
        </w:rPr>
        <w:t xml:space="preserve"> and Others v. Turkey, no. 21689/93, § 310, 6 April 2004; </w:t>
      </w:r>
      <w:proofErr w:type="spellStart"/>
      <w:r w:rsidRPr="00402630">
        <w:rPr>
          <w:rFonts w:ascii="Arial" w:hAnsi="Arial" w:cs="Arial"/>
          <w:sz w:val="20"/>
          <w:szCs w:val="20"/>
        </w:rPr>
        <w:t>Isayeva</w:t>
      </w:r>
      <w:proofErr w:type="spellEnd"/>
      <w:r w:rsidRPr="00402630">
        <w:rPr>
          <w:rFonts w:ascii="Arial" w:hAnsi="Arial" w:cs="Arial"/>
          <w:sz w:val="20"/>
          <w:szCs w:val="20"/>
        </w:rPr>
        <w:t xml:space="preserve"> v. Russia, no. 57950/00, § 210, 24 February 2005</w:t>
      </w:r>
      <w:r w:rsidRPr="004F1F82">
        <w:rPr>
          <w:rFonts w:ascii="Arial" w:hAnsi="Arial" w:cs="Arial"/>
          <w:sz w:val="20"/>
          <w:szCs w:val="20"/>
        </w:rPr>
        <w:t>.</w:t>
      </w:r>
    </w:p>
  </w:footnote>
  <w:footnote w:id="95">
    <w:p w14:paraId="66EE5493" w14:textId="16C96250" w:rsidR="008B710E" w:rsidRPr="004F1F82" w:rsidRDefault="008B710E"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65.</w:t>
      </w:r>
      <w:r w:rsidR="001603CD" w:rsidRPr="004F1F82">
        <w:rPr>
          <w:rFonts w:ascii="Arial" w:hAnsi="Arial" w:cs="Arial"/>
          <w:sz w:val="20"/>
          <w:szCs w:val="20"/>
        </w:rPr>
        <w:t xml:space="preserve"> See also, generally, </w:t>
      </w:r>
      <w:r w:rsidR="004F1F82" w:rsidRPr="004F1F82">
        <w:rPr>
          <w:rFonts w:ascii="Arial" w:hAnsi="Arial" w:cs="Arial"/>
          <w:sz w:val="20"/>
          <w:szCs w:val="20"/>
        </w:rPr>
        <w:t>A, B, C and D Against EULEX</w:t>
      </w:r>
      <w:r w:rsidR="004F1F82" w:rsidRPr="004F1F82">
        <w:rPr>
          <w:rFonts w:ascii="Arial" w:hAnsi="Arial" w:cs="Arial"/>
          <w:sz w:val="20"/>
          <w:szCs w:val="20"/>
        </w:rPr>
        <w:t xml:space="preserve">, </w:t>
      </w:r>
      <w:r w:rsidR="004F1F82" w:rsidRPr="004F1F82">
        <w:rPr>
          <w:rFonts w:ascii="Arial" w:hAnsi="Arial" w:cs="Arial"/>
          <w:sz w:val="20"/>
          <w:szCs w:val="20"/>
        </w:rPr>
        <w:t>Case No. 2012-09, 2012-10, 2012-11 and 2012-12</w:t>
      </w:r>
      <w:r w:rsidR="004F1F82" w:rsidRPr="004F1F82">
        <w:rPr>
          <w:rFonts w:ascii="Arial" w:hAnsi="Arial" w:cs="Arial"/>
          <w:sz w:val="20"/>
          <w:szCs w:val="20"/>
        </w:rPr>
        <w:t xml:space="preserve">, 20 June 2013, </w:t>
      </w:r>
      <w:r w:rsidR="001603CD" w:rsidRPr="004F1F82">
        <w:rPr>
          <w:rFonts w:ascii="Arial" w:hAnsi="Arial" w:cs="Arial"/>
          <w:sz w:val="20"/>
          <w:szCs w:val="20"/>
        </w:rPr>
        <w:t>in particular, pars 66-67.</w:t>
      </w:r>
    </w:p>
  </w:footnote>
  <w:footnote w:id="96">
    <w:p w14:paraId="04A2DC05" w14:textId="6DB392DA" w:rsidR="008B710E" w:rsidRPr="004F1F82" w:rsidRDefault="008B710E"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L.O. Against EULEX</w:t>
      </w:r>
      <w:r w:rsidRPr="004F1F82">
        <w:rPr>
          <w:rFonts w:ascii="Arial" w:hAnsi="Arial" w:cs="Arial"/>
          <w:sz w:val="20"/>
          <w:szCs w:val="20"/>
        </w:rPr>
        <w:t>, Case No. 2014-32, 11 November 2015</w:t>
      </w:r>
      <w:r w:rsidRPr="004F1F82">
        <w:rPr>
          <w:rFonts w:ascii="Arial" w:hAnsi="Arial" w:cs="Arial"/>
          <w:sz w:val="20"/>
          <w:szCs w:val="20"/>
        </w:rPr>
        <w:t>, pars 66-71 (discussing the creation, mandate and actions of the special investigative task force or SITF).</w:t>
      </w:r>
    </w:p>
  </w:footnote>
  <w:footnote w:id="97">
    <w:p w14:paraId="11D62B12" w14:textId="7FF137A9" w:rsidR="0093623D" w:rsidRPr="004F1F82" w:rsidRDefault="0093623D"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hyperlink r:id="rId6" w:history="1">
        <w:r w:rsidRPr="004F1F82">
          <w:rPr>
            <w:rStyle w:val="Hyperlink"/>
            <w:rFonts w:ascii="Arial" w:hAnsi="Arial" w:cs="Arial"/>
            <w:sz w:val="20"/>
            <w:szCs w:val="20"/>
          </w:rPr>
          <w:t>http://w</w:t>
        </w:r>
        <w:r w:rsidRPr="004F1F82">
          <w:rPr>
            <w:rStyle w:val="Hyperlink"/>
            <w:rFonts w:ascii="Arial" w:hAnsi="Arial" w:cs="Arial"/>
            <w:sz w:val="20"/>
            <w:szCs w:val="20"/>
          </w:rPr>
          <w:t>w</w:t>
        </w:r>
        <w:r w:rsidRPr="004F1F82">
          <w:rPr>
            <w:rStyle w:val="Hyperlink"/>
            <w:rFonts w:ascii="Arial" w:hAnsi="Arial" w:cs="Arial"/>
            <w:sz w:val="20"/>
            <w:szCs w:val="20"/>
          </w:rPr>
          <w:t>w.hrrp.eu/docs/Case%20law%20note%20on%20DUTY%20TO%20INVESTIGATE.pdf</w:t>
        </w:r>
      </w:hyperlink>
      <w:r w:rsidRPr="004F1F82">
        <w:rPr>
          <w:rFonts w:ascii="Arial" w:hAnsi="Arial" w:cs="Arial"/>
          <w:sz w:val="20"/>
          <w:szCs w:val="20"/>
        </w:rPr>
        <w:t xml:space="preserve">. </w:t>
      </w:r>
      <w:r w:rsidR="006560BE" w:rsidRPr="004F1F82">
        <w:rPr>
          <w:rFonts w:ascii="Arial" w:hAnsi="Arial" w:cs="Arial"/>
          <w:sz w:val="20"/>
          <w:szCs w:val="20"/>
        </w:rPr>
        <w:t xml:space="preserve">See also </w:t>
      </w:r>
      <w:proofErr w:type="spellStart"/>
      <w:r w:rsidR="006560BE" w:rsidRPr="004F1F82">
        <w:rPr>
          <w:rFonts w:ascii="Arial" w:hAnsi="Arial" w:cs="Arial"/>
          <w:i/>
          <w:sz w:val="20"/>
          <w:szCs w:val="20"/>
        </w:rPr>
        <w:t>Stanisic</w:t>
      </w:r>
      <w:proofErr w:type="spellEnd"/>
      <w:r w:rsidR="006560BE" w:rsidRPr="004F1F82">
        <w:rPr>
          <w:rFonts w:ascii="Arial" w:hAnsi="Arial" w:cs="Arial"/>
          <w:i/>
          <w:sz w:val="20"/>
          <w:szCs w:val="20"/>
        </w:rPr>
        <w:t xml:space="preserve"> against EULEX</w:t>
      </w:r>
      <w:r w:rsidR="006560BE" w:rsidRPr="004F1F82">
        <w:rPr>
          <w:rFonts w:ascii="Arial" w:hAnsi="Arial" w:cs="Arial"/>
          <w:sz w:val="20"/>
          <w:szCs w:val="20"/>
        </w:rPr>
        <w:t xml:space="preserve">, Case No. </w:t>
      </w:r>
      <w:r w:rsidR="006560BE" w:rsidRPr="004F1F82">
        <w:rPr>
          <w:rFonts w:ascii="Arial" w:hAnsi="Arial" w:cs="Arial"/>
          <w:color w:val="000000"/>
          <w:sz w:val="20"/>
          <w:szCs w:val="20"/>
        </w:rPr>
        <w:t>2012-22, 11 November 2015, par</w:t>
      </w:r>
      <w:r w:rsidR="006560BE" w:rsidRPr="004F1F82">
        <w:rPr>
          <w:rFonts w:ascii="Arial" w:hAnsi="Arial" w:cs="Arial"/>
          <w:color w:val="000000"/>
          <w:sz w:val="20"/>
          <w:szCs w:val="20"/>
        </w:rPr>
        <w:t>s</w:t>
      </w:r>
      <w:r w:rsidR="006560BE" w:rsidRPr="004F1F82">
        <w:rPr>
          <w:rFonts w:ascii="Arial" w:hAnsi="Arial" w:cs="Arial"/>
          <w:color w:val="000000"/>
          <w:sz w:val="20"/>
          <w:szCs w:val="20"/>
        </w:rPr>
        <w:t xml:space="preserve"> 6</w:t>
      </w:r>
      <w:r w:rsidR="006560BE" w:rsidRPr="004F1F82">
        <w:rPr>
          <w:rFonts w:ascii="Arial" w:hAnsi="Arial" w:cs="Arial"/>
          <w:color w:val="000000"/>
          <w:sz w:val="20"/>
          <w:szCs w:val="20"/>
        </w:rPr>
        <w:t>5-</w:t>
      </w:r>
      <w:r w:rsidR="00DC4CE5" w:rsidRPr="004F1F82">
        <w:rPr>
          <w:rFonts w:ascii="Arial" w:hAnsi="Arial" w:cs="Arial"/>
          <w:color w:val="000000"/>
          <w:sz w:val="20"/>
          <w:szCs w:val="20"/>
        </w:rPr>
        <w:t>70</w:t>
      </w:r>
      <w:r w:rsidR="006560BE" w:rsidRPr="004F1F82">
        <w:rPr>
          <w:rFonts w:ascii="Arial" w:hAnsi="Arial" w:cs="Arial"/>
          <w:color w:val="000000"/>
          <w:sz w:val="20"/>
          <w:szCs w:val="20"/>
        </w:rPr>
        <w:t>.</w:t>
      </w:r>
    </w:p>
  </w:footnote>
  <w:footnote w:id="98">
    <w:p w14:paraId="7FC3DD5F" w14:textId="1AA4D4CF" w:rsidR="006560BE" w:rsidRPr="004F1F82" w:rsidRDefault="006560BE"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w:t>
      </w:r>
      <w:r w:rsidR="00DC4CE5" w:rsidRPr="004F1F82">
        <w:rPr>
          <w:rFonts w:ascii="Arial" w:hAnsi="Arial" w:cs="Arial"/>
          <w:sz w:val="20"/>
          <w:szCs w:val="20"/>
        </w:rPr>
        <w:t xml:space="preserve">, in particular, pp. 22 </w:t>
      </w:r>
      <w:r w:rsidR="00DC4CE5" w:rsidRPr="004F1F82">
        <w:rPr>
          <w:rFonts w:ascii="Arial" w:hAnsi="Arial" w:cs="Arial"/>
          <w:i/>
          <w:sz w:val="20"/>
          <w:szCs w:val="20"/>
        </w:rPr>
        <w:t>et seq</w:t>
      </w:r>
      <w:r w:rsidRPr="004F1F82">
        <w:rPr>
          <w:rFonts w:ascii="Arial" w:hAnsi="Arial" w:cs="Arial"/>
          <w:sz w:val="20"/>
          <w:szCs w:val="20"/>
        </w:rPr>
        <w:t>.</w:t>
      </w:r>
      <w:r w:rsidR="00DC4CE5" w:rsidRPr="004F1F82">
        <w:rPr>
          <w:rFonts w:ascii="Arial" w:hAnsi="Arial" w:cs="Arial"/>
          <w:sz w:val="20"/>
          <w:szCs w:val="20"/>
        </w:rPr>
        <w:t xml:space="preserve"> S</w:t>
      </w:r>
      <w:r w:rsidRPr="004F1F82">
        <w:rPr>
          <w:rFonts w:ascii="Arial" w:hAnsi="Arial" w:cs="Arial"/>
          <w:sz w:val="20"/>
          <w:szCs w:val="20"/>
        </w:rPr>
        <w:t xml:space="preserve">ee also </w:t>
      </w:r>
      <w:proofErr w:type="spellStart"/>
      <w:r w:rsidRPr="004F1F82">
        <w:rPr>
          <w:rFonts w:ascii="Arial" w:hAnsi="Arial" w:cs="Arial"/>
          <w:i/>
          <w:sz w:val="20"/>
          <w:szCs w:val="20"/>
        </w:rPr>
        <w:t>Stanisic</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Case No. </w:t>
      </w:r>
      <w:r w:rsidRPr="004F1F82">
        <w:rPr>
          <w:rFonts w:ascii="Arial" w:hAnsi="Arial" w:cs="Arial"/>
          <w:color w:val="000000"/>
          <w:sz w:val="20"/>
          <w:szCs w:val="20"/>
        </w:rPr>
        <w:t>2012-22, 11 November 2015, pars</w:t>
      </w:r>
      <w:r w:rsidRPr="004F1F82">
        <w:rPr>
          <w:rFonts w:ascii="Arial" w:hAnsi="Arial" w:cs="Arial"/>
          <w:color w:val="000000"/>
          <w:sz w:val="20"/>
          <w:szCs w:val="20"/>
        </w:rPr>
        <w:t xml:space="preserve"> 67-7</w:t>
      </w:r>
      <w:r w:rsidR="00DC4CE5" w:rsidRPr="004F1F82">
        <w:rPr>
          <w:rFonts w:ascii="Arial" w:hAnsi="Arial" w:cs="Arial"/>
          <w:color w:val="000000"/>
          <w:sz w:val="20"/>
          <w:szCs w:val="20"/>
        </w:rPr>
        <w:t>3.</w:t>
      </w:r>
    </w:p>
  </w:footnote>
  <w:footnote w:id="99">
    <w:p w14:paraId="5261A690" w14:textId="1BA626DF"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Zahiti</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xml:space="preserve">, Case No. 2012-14, 4 February 2004, par 64; and </w:t>
      </w:r>
      <w:hyperlink r:id="rId7" w:history="1">
        <w:proofErr w:type="spellStart"/>
        <w:r w:rsidRPr="004F1F82">
          <w:rPr>
            <w:rStyle w:val="Hyperlink"/>
            <w:rFonts w:ascii="Arial" w:hAnsi="Arial" w:cs="Arial"/>
            <w:i/>
            <w:sz w:val="20"/>
            <w:szCs w:val="20"/>
            <w:lang w:val="en-GB"/>
          </w:rPr>
          <w:t>Zahiti</w:t>
        </w:r>
        <w:proofErr w:type="spellEnd"/>
        <w:r w:rsidRPr="004F1F82">
          <w:rPr>
            <w:rStyle w:val="Hyperlink"/>
            <w:rFonts w:ascii="Arial" w:hAnsi="Arial" w:cs="Arial"/>
            <w:i/>
            <w:sz w:val="20"/>
            <w:szCs w:val="20"/>
            <w:lang w:val="en-GB"/>
          </w:rPr>
          <w:t xml:space="preserve"> v EULEX</w:t>
        </w:r>
      </w:hyperlink>
      <w:r w:rsidRPr="004F1F82">
        <w:rPr>
          <w:rFonts w:ascii="Arial" w:hAnsi="Arial" w:cs="Arial"/>
          <w:sz w:val="20"/>
          <w:szCs w:val="20"/>
          <w:lang w:val="en-GB"/>
        </w:rPr>
        <w:t>, 7 June 2013, par 40.</w:t>
      </w:r>
    </w:p>
  </w:footnote>
  <w:footnote w:id="100">
    <w:p w14:paraId="14202BC3" w14:textId="4B9CC438"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lang w:val="en-GB"/>
        </w:rPr>
        <w:t>Zahiti</w:t>
      </w:r>
      <w:proofErr w:type="spellEnd"/>
      <w:r w:rsidRPr="004F1F82">
        <w:rPr>
          <w:rFonts w:ascii="Arial" w:hAnsi="Arial" w:cs="Arial"/>
          <w:i/>
          <w:sz w:val="20"/>
          <w:szCs w:val="20"/>
          <w:lang w:val="en-GB"/>
        </w:rPr>
        <w:t xml:space="preserve"> against EULEX</w:t>
      </w:r>
      <w:r w:rsidRPr="004F1F82">
        <w:rPr>
          <w:rFonts w:ascii="Arial" w:hAnsi="Arial" w:cs="Arial"/>
          <w:sz w:val="20"/>
          <w:szCs w:val="20"/>
          <w:lang w:val="en-GB"/>
        </w:rPr>
        <w:t>, Case No. 2012-14, 4 February 2004, par 66.</w:t>
      </w:r>
    </w:p>
  </w:footnote>
  <w:footnote w:id="101">
    <w:p w14:paraId="365983C5" w14:textId="5DB12B74"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69.</w:t>
      </w:r>
    </w:p>
  </w:footnote>
  <w:footnote w:id="102">
    <w:p w14:paraId="4FE530D2" w14:textId="15B6F5A1"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72.</w:t>
      </w:r>
    </w:p>
  </w:footnote>
  <w:footnote w:id="103">
    <w:p w14:paraId="5D2809BC" w14:textId="46D60759"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75.</w:t>
      </w:r>
    </w:p>
  </w:footnote>
  <w:footnote w:id="104">
    <w:p w14:paraId="2169D6F6" w14:textId="6245CD6A"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Blerim</w:t>
      </w:r>
      <w:proofErr w:type="spellEnd"/>
      <w:r w:rsidRPr="004F1F82">
        <w:rPr>
          <w:rFonts w:ascii="Arial" w:hAnsi="Arial" w:cs="Arial"/>
          <w:i/>
          <w:sz w:val="20"/>
          <w:szCs w:val="20"/>
        </w:rPr>
        <w:t xml:space="preserve"> Rudi against EULEX</w:t>
      </w:r>
      <w:r w:rsidRPr="004F1F82">
        <w:rPr>
          <w:rFonts w:ascii="Arial" w:hAnsi="Arial" w:cs="Arial"/>
          <w:sz w:val="20"/>
          <w:szCs w:val="20"/>
        </w:rPr>
        <w:t xml:space="preserve">, par 61, referring to: ECHR, J.A. </w:t>
      </w:r>
      <w:proofErr w:type="spellStart"/>
      <w:r w:rsidRPr="004F1F82">
        <w:rPr>
          <w:rFonts w:ascii="Arial" w:hAnsi="Arial" w:cs="Arial"/>
          <w:sz w:val="20"/>
          <w:szCs w:val="20"/>
        </w:rPr>
        <w:t>Pye</w:t>
      </w:r>
      <w:proofErr w:type="spellEnd"/>
      <w:r w:rsidRPr="004F1F82">
        <w:rPr>
          <w:rFonts w:ascii="Arial" w:hAnsi="Arial" w:cs="Arial"/>
          <w:sz w:val="20"/>
          <w:szCs w:val="20"/>
        </w:rPr>
        <w:t xml:space="preserve"> (Oxford) Ltd and J.A. </w:t>
      </w:r>
      <w:proofErr w:type="spellStart"/>
      <w:r w:rsidRPr="004F1F82">
        <w:rPr>
          <w:rFonts w:ascii="Arial" w:hAnsi="Arial" w:cs="Arial"/>
          <w:sz w:val="20"/>
          <w:szCs w:val="20"/>
        </w:rPr>
        <w:t>Pye</w:t>
      </w:r>
      <w:proofErr w:type="spellEnd"/>
      <w:r w:rsidRPr="004F1F82">
        <w:rPr>
          <w:rFonts w:ascii="Arial" w:hAnsi="Arial" w:cs="Arial"/>
          <w:sz w:val="20"/>
          <w:szCs w:val="20"/>
        </w:rPr>
        <w:t xml:space="preserve"> (Oxford) Land Ltd v. the United Kingdom [GC], no. 44302/02, § 61, ECHR 2007-X; </w:t>
      </w:r>
      <w:proofErr w:type="spellStart"/>
      <w:r w:rsidRPr="004F1F82">
        <w:rPr>
          <w:rFonts w:ascii="Arial" w:hAnsi="Arial" w:cs="Arial"/>
          <w:sz w:val="20"/>
          <w:szCs w:val="20"/>
        </w:rPr>
        <w:t>Maltzan</w:t>
      </w:r>
      <w:proofErr w:type="spellEnd"/>
      <w:r w:rsidRPr="004F1F82">
        <w:rPr>
          <w:rFonts w:ascii="Arial" w:hAnsi="Arial" w:cs="Arial"/>
          <w:sz w:val="20"/>
          <w:szCs w:val="20"/>
        </w:rPr>
        <w:t xml:space="preserve"> and Others v. Germany (</w:t>
      </w:r>
      <w:proofErr w:type="spellStart"/>
      <w:r w:rsidRPr="004F1F82">
        <w:rPr>
          <w:rFonts w:ascii="Arial" w:hAnsi="Arial" w:cs="Arial"/>
          <w:sz w:val="20"/>
          <w:szCs w:val="20"/>
        </w:rPr>
        <w:t>dec.</w:t>
      </w:r>
      <w:proofErr w:type="spellEnd"/>
      <w:r w:rsidRPr="004F1F82">
        <w:rPr>
          <w:rFonts w:ascii="Arial" w:hAnsi="Arial" w:cs="Arial"/>
          <w:sz w:val="20"/>
          <w:szCs w:val="20"/>
        </w:rPr>
        <w:t xml:space="preserve">) [GC], nos. 71916/01, 71917/01 and 10260/02, § 74 c, ECHR 2005-V; </w:t>
      </w:r>
      <w:proofErr w:type="spellStart"/>
      <w:r w:rsidRPr="004F1F82">
        <w:rPr>
          <w:rFonts w:ascii="Arial" w:hAnsi="Arial" w:cs="Arial"/>
          <w:sz w:val="20"/>
          <w:szCs w:val="20"/>
        </w:rPr>
        <w:t>Kopecký</w:t>
      </w:r>
      <w:proofErr w:type="spellEnd"/>
      <w:r w:rsidRPr="004F1F82">
        <w:rPr>
          <w:rFonts w:ascii="Arial" w:hAnsi="Arial" w:cs="Arial"/>
          <w:sz w:val="20"/>
          <w:szCs w:val="20"/>
        </w:rPr>
        <w:t xml:space="preserve"> v. Slovakia [GC], no. 44912/98, § 35 c, ECHR 2004-IX). See also </w:t>
      </w:r>
      <w:proofErr w:type="spellStart"/>
      <w:r w:rsidRPr="004F1F82">
        <w:rPr>
          <w:rFonts w:ascii="Arial" w:hAnsi="Arial" w:cs="Arial"/>
          <w:i/>
          <w:sz w:val="20"/>
          <w:szCs w:val="20"/>
        </w:rPr>
        <w:t>Kazagic</w:t>
      </w:r>
      <w:proofErr w:type="spellEnd"/>
      <w:r w:rsidRPr="004F1F82">
        <w:rPr>
          <w:rFonts w:ascii="Arial" w:hAnsi="Arial" w:cs="Arial"/>
          <w:i/>
          <w:sz w:val="20"/>
          <w:szCs w:val="20"/>
        </w:rPr>
        <w:t xml:space="preserve"> </w:t>
      </w:r>
      <w:proofErr w:type="spellStart"/>
      <w:r w:rsidRPr="004F1F82">
        <w:rPr>
          <w:rFonts w:ascii="Arial" w:hAnsi="Arial" w:cs="Arial"/>
          <w:i/>
          <w:sz w:val="20"/>
          <w:szCs w:val="20"/>
        </w:rPr>
        <w:t>Djeljalj</w:t>
      </w:r>
      <w:proofErr w:type="spellEnd"/>
      <w:r w:rsidRPr="004F1F82">
        <w:rPr>
          <w:rFonts w:ascii="Arial" w:hAnsi="Arial" w:cs="Arial"/>
          <w:i/>
          <w:sz w:val="20"/>
          <w:szCs w:val="20"/>
        </w:rPr>
        <w:t xml:space="preserve"> against EULEX</w:t>
      </w:r>
      <w:r w:rsidRPr="004F1F82">
        <w:rPr>
          <w:rFonts w:ascii="Arial" w:hAnsi="Arial" w:cs="Arial"/>
          <w:sz w:val="20"/>
          <w:szCs w:val="20"/>
        </w:rPr>
        <w:t>, 8 April 2011, par 63.</w:t>
      </w:r>
    </w:p>
  </w:footnote>
  <w:footnote w:id="105">
    <w:p w14:paraId="196747E3" w14:textId="0053D20C"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rPr>
        <w:t>Ibid</w:t>
      </w:r>
      <w:r w:rsidRPr="004F1F82">
        <w:rPr>
          <w:rFonts w:ascii="Arial" w:hAnsi="Arial" w:cs="Arial"/>
          <w:sz w:val="20"/>
          <w:szCs w:val="20"/>
        </w:rPr>
        <w:t xml:space="preserve">, par 62, referring to: (see, among many other authorities, ECHR, </w:t>
      </w:r>
      <w:proofErr w:type="spellStart"/>
      <w:r w:rsidRPr="004F1F82">
        <w:rPr>
          <w:rFonts w:ascii="Arial" w:hAnsi="Arial" w:cs="Arial"/>
          <w:sz w:val="20"/>
          <w:szCs w:val="20"/>
        </w:rPr>
        <w:t>Öneryıldız</w:t>
      </w:r>
      <w:proofErr w:type="spellEnd"/>
      <w:r w:rsidRPr="004F1F82">
        <w:rPr>
          <w:rFonts w:ascii="Arial" w:hAnsi="Arial" w:cs="Arial"/>
          <w:sz w:val="20"/>
          <w:szCs w:val="20"/>
        </w:rPr>
        <w:t xml:space="preserve"> v. Turkey [GC], no. 48939/99, § 124, ECHR 2004-XII; Anheuser-Busch Inc. v. Portugal [GC], no. 73049/01, § 63, ECHR 2007-I; </w:t>
      </w:r>
      <w:proofErr w:type="spellStart"/>
      <w:r w:rsidRPr="004F1F82">
        <w:rPr>
          <w:rFonts w:ascii="Arial" w:hAnsi="Arial" w:cs="Arial"/>
          <w:sz w:val="20"/>
          <w:szCs w:val="20"/>
        </w:rPr>
        <w:t>Broniowski</w:t>
      </w:r>
      <w:proofErr w:type="spellEnd"/>
      <w:r w:rsidRPr="004F1F82">
        <w:rPr>
          <w:rFonts w:ascii="Arial" w:hAnsi="Arial" w:cs="Arial"/>
          <w:sz w:val="20"/>
          <w:szCs w:val="20"/>
        </w:rPr>
        <w:t xml:space="preserve"> v. Poland [GC], no. 31443/96, § 129, ECHR 2004-V; </w:t>
      </w:r>
      <w:proofErr w:type="spellStart"/>
      <w:r w:rsidRPr="004F1F82">
        <w:rPr>
          <w:rFonts w:ascii="Arial" w:hAnsi="Arial" w:cs="Arial"/>
          <w:sz w:val="20"/>
          <w:szCs w:val="20"/>
        </w:rPr>
        <w:t>Beyeler</w:t>
      </w:r>
      <w:proofErr w:type="spellEnd"/>
      <w:r w:rsidRPr="004F1F82">
        <w:rPr>
          <w:rFonts w:ascii="Arial" w:hAnsi="Arial" w:cs="Arial"/>
          <w:sz w:val="20"/>
          <w:szCs w:val="20"/>
        </w:rPr>
        <w:t xml:space="preserve"> v. Italy [GC], no. 33202/96, § 100. ECHR 2000-I). See also </w:t>
      </w:r>
      <w:proofErr w:type="spellStart"/>
      <w:r w:rsidRPr="004F1F82">
        <w:rPr>
          <w:rFonts w:ascii="Arial" w:hAnsi="Arial" w:cs="Arial"/>
          <w:i/>
          <w:sz w:val="20"/>
          <w:szCs w:val="20"/>
        </w:rPr>
        <w:t>Kazagic</w:t>
      </w:r>
      <w:proofErr w:type="spellEnd"/>
      <w:r w:rsidRPr="004F1F82">
        <w:rPr>
          <w:rFonts w:ascii="Arial" w:hAnsi="Arial" w:cs="Arial"/>
          <w:i/>
          <w:sz w:val="20"/>
          <w:szCs w:val="20"/>
        </w:rPr>
        <w:t xml:space="preserve"> </w:t>
      </w:r>
      <w:proofErr w:type="spellStart"/>
      <w:r w:rsidRPr="004F1F82">
        <w:rPr>
          <w:rFonts w:ascii="Arial" w:hAnsi="Arial" w:cs="Arial"/>
          <w:i/>
          <w:sz w:val="20"/>
          <w:szCs w:val="20"/>
        </w:rPr>
        <w:t>Djeljalj</w:t>
      </w:r>
      <w:proofErr w:type="spellEnd"/>
      <w:r w:rsidRPr="004F1F82">
        <w:rPr>
          <w:rFonts w:ascii="Arial" w:hAnsi="Arial" w:cs="Arial"/>
          <w:i/>
          <w:sz w:val="20"/>
          <w:szCs w:val="20"/>
        </w:rPr>
        <w:t xml:space="preserve"> against EULEX</w:t>
      </w:r>
      <w:r w:rsidRPr="004F1F82">
        <w:rPr>
          <w:rFonts w:ascii="Arial" w:hAnsi="Arial" w:cs="Arial"/>
          <w:sz w:val="20"/>
          <w:szCs w:val="20"/>
        </w:rPr>
        <w:t>, 8 April 2011, pars 63-64 and finding, par 65 (“In the present case, the Panel notes that according to all documentation presented by the complainant, his brother owns the property concerned. They concluded an agreement on the basis of which they together financed and built a house on the plot of land concerned. The Panel finds that in the circumstances of the case the complainant had substantive interest sufficiently concrete to confer on him rights which should be regarded as ”possessions” within the meaning of Article 1 of Protocol No. 1 of the Convention.”).</w:t>
      </w:r>
    </w:p>
  </w:footnote>
  <w:footnote w:id="106">
    <w:p w14:paraId="0B9C7CC3" w14:textId="009A95DF"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Blerim</w:t>
      </w:r>
      <w:proofErr w:type="spellEnd"/>
      <w:r w:rsidRPr="004F1F82">
        <w:rPr>
          <w:rFonts w:ascii="Arial" w:hAnsi="Arial" w:cs="Arial"/>
          <w:i/>
          <w:sz w:val="20"/>
          <w:szCs w:val="20"/>
        </w:rPr>
        <w:t xml:space="preserve"> Rudi against EULEX</w:t>
      </w:r>
      <w:r w:rsidRPr="004F1F82">
        <w:rPr>
          <w:rFonts w:ascii="Arial" w:hAnsi="Arial" w:cs="Arial"/>
          <w:sz w:val="20"/>
          <w:szCs w:val="20"/>
        </w:rPr>
        <w:t xml:space="preserve">, par 63, referring to: Anheuser-Busch Inc. v. Portugal, cited above, § 65; </w:t>
      </w:r>
      <w:proofErr w:type="spellStart"/>
      <w:r w:rsidRPr="004F1F82">
        <w:rPr>
          <w:rFonts w:ascii="Arial" w:hAnsi="Arial" w:cs="Arial"/>
          <w:sz w:val="20"/>
          <w:szCs w:val="20"/>
        </w:rPr>
        <w:t>Kopecky</w:t>
      </w:r>
      <w:proofErr w:type="spellEnd"/>
      <w:r w:rsidRPr="004F1F82">
        <w:rPr>
          <w:rFonts w:ascii="Arial" w:hAnsi="Arial" w:cs="Arial"/>
          <w:sz w:val="20"/>
          <w:szCs w:val="20"/>
        </w:rPr>
        <w:t xml:space="preserve"> v. Slovakia, cited above, § 50. Regarding the issue of legitimate expectation in this context, see also </w:t>
      </w:r>
      <w:proofErr w:type="spellStart"/>
      <w:r w:rsidRPr="004F1F82">
        <w:rPr>
          <w:rFonts w:ascii="Arial" w:hAnsi="Arial" w:cs="Arial"/>
          <w:i/>
          <w:sz w:val="20"/>
          <w:szCs w:val="20"/>
        </w:rPr>
        <w:t>Blerim</w:t>
      </w:r>
      <w:proofErr w:type="spellEnd"/>
      <w:r w:rsidRPr="004F1F82">
        <w:rPr>
          <w:rFonts w:ascii="Arial" w:hAnsi="Arial" w:cs="Arial"/>
          <w:i/>
          <w:sz w:val="20"/>
          <w:szCs w:val="20"/>
        </w:rPr>
        <w:t xml:space="preserve"> Rudi against EULEX</w:t>
      </w:r>
      <w:r w:rsidRPr="004F1F82">
        <w:rPr>
          <w:rFonts w:ascii="Arial" w:hAnsi="Arial" w:cs="Arial"/>
          <w:sz w:val="20"/>
          <w:szCs w:val="20"/>
        </w:rPr>
        <w:t>, 8 June 2011, par 68 (“In his initial submissions the HOM acknowledged that the initiation of a judicial review did not prevent the execution of that decision. The Panel, therefore, finds that the IOB’s decision of 10 August, 2010 generates on the part of the complainant, a legitimate expectation that that decision would be executed prior to the final determination of the lawfulness of the termination of the complainant’s employment contract which will be determined by the judicial review in due course.”)</w:t>
      </w:r>
    </w:p>
  </w:footnote>
  <w:footnote w:id="107">
    <w:p w14:paraId="636A9C7B" w14:textId="5F7DB89A"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Blerim</w:t>
      </w:r>
      <w:proofErr w:type="spellEnd"/>
      <w:r w:rsidRPr="004F1F82">
        <w:rPr>
          <w:rFonts w:ascii="Arial" w:hAnsi="Arial" w:cs="Arial"/>
          <w:i/>
          <w:sz w:val="20"/>
          <w:szCs w:val="20"/>
        </w:rPr>
        <w:t xml:space="preserve"> Rudi against EULEX</w:t>
      </w:r>
      <w:r w:rsidRPr="004F1F82">
        <w:rPr>
          <w:rFonts w:ascii="Arial" w:hAnsi="Arial" w:cs="Arial"/>
          <w:sz w:val="20"/>
          <w:szCs w:val="20"/>
        </w:rPr>
        <w:t xml:space="preserve">, 8 June 2011, par 71, referring to: ECHR, The former King of Greece and Others v. Greece [GC], no. 25701/94, §§ 79 and 82, ECHR 2000-XII. See also </w:t>
      </w:r>
      <w:proofErr w:type="spellStart"/>
      <w:r w:rsidRPr="004F1F82">
        <w:rPr>
          <w:rFonts w:ascii="Arial" w:hAnsi="Arial" w:cs="Arial"/>
          <w:i/>
          <w:sz w:val="20"/>
          <w:szCs w:val="20"/>
        </w:rPr>
        <w:t>Kazagic</w:t>
      </w:r>
      <w:proofErr w:type="spellEnd"/>
      <w:r w:rsidRPr="004F1F82">
        <w:rPr>
          <w:rFonts w:ascii="Arial" w:hAnsi="Arial" w:cs="Arial"/>
          <w:i/>
          <w:sz w:val="20"/>
          <w:szCs w:val="20"/>
        </w:rPr>
        <w:t xml:space="preserve"> </w:t>
      </w:r>
      <w:proofErr w:type="spellStart"/>
      <w:r w:rsidRPr="004F1F82">
        <w:rPr>
          <w:rFonts w:ascii="Arial" w:hAnsi="Arial" w:cs="Arial"/>
          <w:i/>
          <w:sz w:val="20"/>
          <w:szCs w:val="20"/>
        </w:rPr>
        <w:t>Djeljalj</w:t>
      </w:r>
      <w:proofErr w:type="spellEnd"/>
      <w:r w:rsidRPr="004F1F82">
        <w:rPr>
          <w:rFonts w:ascii="Arial" w:hAnsi="Arial" w:cs="Arial"/>
          <w:i/>
          <w:sz w:val="20"/>
          <w:szCs w:val="20"/>
        </w:rPr>
        <w:t xml:space="preserve"> against EULEX</w:t>
      </w:r>
      <w:r w:rsidRPr="004F1F82">
        <w:rPr>
          <w:rFonts w:ascii="Arial" w:hAnsi="Arial" w:cs="Arial"/>
          <w:sz w:val="20"/>
          <w:szCs w:val="20"/>
        </w:rPr>
        <w:t>, 8 April 2011, par 63.</w:t>
      </w:r>
    </w:p>
  </w:footnote>
  <w:footnote w:id="108">
    <w:p w14:paraId="08CDB956" w14:textId="34694D23"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Blerim</w:t>
      </w:r>
      <w:proofErr w:type="spellEnd"/>
      <w:r w:rsidRPr="004F1F82">
        <w:rPr>
          <w:rFonts w:ascii="Arial" w:hAnsi="Arial" w:cs="Arial"/>
          <w:i/>
          <w:sz w:val="20"/>
          <w:szCs w:val="20"/>
        </w:rPr>
        <w:t xml:space="preserve"> Rudi against EULEX</w:t>
      </w:r>
      <w:r w:rsidRPr="004F1F82">
        <w:rPr>
          <w:rFonts w:ascii="Arial" w:hAnsi="Arial" w:cs="Arial"/>
          <w:sz w:val="20"/>
          <w:szCs w:val="20"/>
        </w:rPr>
        <w:t xml:space="preserve">, 8 June 2011, par 72, referring to: ECHR, among others authorities, Jahn and Others v. Germany [GC], nos. 46720/99, 72203/01 and 72552/01, §§ 81-94, ECHR 2005. See again </w:t>
      </w:r>
      <w:proofErr w:type="spellStart"/>
      <w:r w:rsidRPr="004F1F82">
        <w:rPr>
          <w:rFonts w:ascii="Arial" w:hAnsi="Arial" w:cs="Arial"/>
          <w:i/>
          <w:sz w:val="20"/>
          <w:szCs w:val="20"/>
        </w:rPr>
        <w:t>Kazagic</w:t>
      </w:r>
      <w:proofErr w:type="spellEnd"/>
      <w:r w:rsidRPr="004F1F82">
        <w:rPr>
          <w:rFonts w:ascii="Arial" w:hAnsi="Arial" w:cs="Arial"/>
          <w:i/>
          <w:sz w:val="20"/>
          <w:szCs w:val="20"/>
        </w:rPr>
        <w:t xml:space="preserve"> </w:t>
      </w:r>
      <w:proofErr w:type="spellStart"/>
      <w:r w:rsidRPr="004F1F82">
        <w:rPr>
          <w:rFonts w:ascii="Arial" w:hAnsi="Arial" w:cs="Arial"/>
          <w:i/>
          <w:sz w:val="20"/>
          <w:szCs w:val="20"/>
        </w:rPr>
        <w:t>Djeljalj</w:t>
      </w:r>
      <w:proofErr w:type="spellEnd"/>
      <w:r w:rsidRPr="004F1F82">
        <w:rPr>
          <w:rFonts w:ascii="Arial" w:hAnsi="Arial" w:cs="Arial"/>
          <w:i/>
          <w:sz w:val="20"/>
          <w:szCs w:val="20"/>
        </w:rPr>
        <w:t xml:space="preserve"> against EULEX</w:t>
      </w:r>
      <w:r w:rsidRPr="004F1F82">
        <w:rPr>
          <w:rFonts w:ascii="Arial" w:hAnsi="Arial" w:cs="Arial"/>
          <w:sz w:val="20"/>
          <w:szCs w:val="20"/>
        </w:rPr>
        <w:t>, 8 April 2011, par 63.</w:t>
      </w:r>
    </w:p>
  </w:footnote>
  <w:footnote w:id="109">
    <w:p w14:paraId="306E7F6E" w14:textId="37744773"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Blerim</w:t>
      </w:r>
      <w:proofErr w:type="spellEnd"/>
      <w:r w:rsidRPr="004F1F82">
        <w:rPr>
          <w:rFonts w:ascii="Arial" w:hAnsi="Arial" w:cs="Arial"/>
          <w:i/>
          <w:sz w:val="20"/>
          <w:szCs w:val="20"/>
        </w:rPr>
        <w:t xml:space="preserve"> Rudi against EULEX</w:t>
      </w:r>
      <w:r w:rsidRPr="004F1F82">
        <w:rPr>
          <w:rFonts w:ascii="Arial" w:hAnsi="Arial" w:cs="Arial"/>
          <w:sz w:val="20"/>
          <w:szCs w:val="20"/>
        </w:rPr>
        <w:t>, 8 June 2011, par 73, referring to: see Jahn and Others v. Germany [GC], nos. 46720/99, 72203/01 and 72552/01, §§ 81-94, ECHR 2005-VI.</w:t>
      </w:r>
    </w:p>
  </w:footnote>
  <w:footnote w:id="110">
    <w:p w14:paraId="0E01ED9D" w14:textId="5432A1B1"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referring to: see </w:t>
      </w:r>
      <w:proofErr w:type="spellStart"/>
      <w:r w:rsidRPr="004F1F82">
        <w:rPr>
          <w:rFonts w:ascii="Arial" w:hAnsi="Arial" w:cs="Arial"/>
          <w:sz w:val="20"/>
          <w:szCs w:val="20"/>
        </w:rPr>
        <w:t>Sporrong</w:t>
      </w:r>
      <w:proofErr w:type="spellEnd"/>
      <w:r w:rsidRPr="004F1F82">
        <w:rPr>
          <w:rFonts w:ascii="Arial" w:hAnsi="Arial" w:cs="Arial"/>
          <w:sz w:val="20"/>
          <w:szCs w:val="20"/>
        </w:rPr>
        <w:t xml:space="preserve"> and </w:t>
      </w:r>
      <w:proofErr w:type="spellStart"/>
      <w:r w:rsidRPr="004F1F82">
        <w:rPr>
          <w:rFonts w:ascii="Arial" w:hAnsi="Arial" w:cs="Arial"/>
          <w:sz w:val="20"/>
          <w:szCs w:val="20"/>
        </w:rPr>
        <w:t>Lönnroth</w:t>
      </w:r>
      <w:proofErr w:type="spellEnd"/>
      <w:r w:rsidRPr="004F1F82">
        <w:rPr>
          <w:rFonts w:ascii="Arial" w:hAnsi="Arial" w:cs="Arial"/>
          <w:sz w:val="20"/>
          <w:szCs w:val="20"/>
        </w:rPr>
        <w:t xml:space="preserve"> v. Sweden, 23 September 1982, §§ 69-74, Series A no. 52).</w:t>
      </w:r>
    </w:p>
  </w:footnote>
  <w:footnote w:id="111">
    <w:p w14:paraId="1003BBB9" w14:textId="42B9BECD"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Blerim</w:t>
      </w:r>
      <w:proofErr w:type="spellEnd"/>
      <w:r w:rsidRPr="004F1F82">
        <w:rPr>
          <w:rFonts w:ascii="Arial" w:hAnsi="Arial" w:cs="Arial"/>
          <w:i/>
          <w:sz w:val="20"/>
          <w:szCs w:val="20"/>
        </w:rPr>
        <w:t xml:space="preserve"> Rudi against EULEX</w:t>
      </w:r>
      <w:r w:rsidRPr="004F1F82">
        <w:rPr>
          <w:rFonts w:ascii="Arial" w:hAnsi="Arial" w:cs="Arial"/>
          <w:sz w:val="20"/>
          <w:szCs w:val="20"/>
        </w:rPr>
        <w:t xml:space="preserve">, 8 June 2011, par 74, referring to: ECHR, </w:t>
      </w:r>
      <w:proofErr w:type="spellStart"/>
      <w:r w:rsidRPr="004F1F82">
        <w:rPr>
          <w:rFonts w:ascii="Arial" w:hAnsi="Arial" w:cs="Arial"/>
          <w:sz w:val="20"/>
          <w:szCs w:val="20"/>
        </w:rPr>
        <w:t>Beyeler</w:t>
      </w:r>
      <w:proofErr w:type="spellEnd"/>
      <w:r w:rsidRPr="004F1F82">
        <w:rPr>
          <w:rFonts w:ascii="Arial" w:hAnsi="Arial" w:cs="Arial"/>
          <w:sz w:val="20"/>
          <w:szCs w:val="20"/>
        </w:rPr>
        <w:t xml:space="preserve"> v. Italy, cited above, § 120, and Megadat.com </w:t>
      </w:r>
      <w:proofErr w:type="spellStart"/>
      <w:r w:rsidRPr="004F1F82">
        <w:rPr>
          <w:rFonts w:ascii="Arial" w:hAnsi="Arial" w:cs="Arial"/>
          <w:sz w:val="20"/>
          <w:szCs w:val="20"/>
        </w:rPr>
        <w:t>S.r.l</w:t>
      </w:r>
      <w:proofErr w:type="spellEnd"/>
      <w:r w:rsidRPr="004F1F82">
        <w:rPr>
          <w:rFonts w:ascii="Arial" w:hAnsi="Arial" w:cs="Arial"/>
          <w:sz w:val="20"/>
          <w:szCs w:val="20"/>
        </w:rPr>
        <w:t>. v. Moldova, no. 21151/04, § 72, 8 April 2008.</w:t>
      </w:r>
    </w:p>
  </w:footnote>
  <w:footnote w:id="112">
    <w:p w14:paraId="0D1F8755" w14:textId="7C8DBCBD"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pars 75-76.</w:t>
      </w:r>
    </w:p>
  </w:footnote>
  <w:footnote w:id="113">
    <w:p w14:paraId="72147BFE" w14:textId="2C921319"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Kazagic</w:t>
      </w:r>
      <w:proofErr w:type="spellEnd"/>
      <w:r w:rsidRPr="004F1F82">
        <w:rPr>
          <w:rFonts w:ascii="Arial" w:hAnsi="Arial" w:cs="Arial"/>
          <w:i/>
          <w:sz w:val="20"/>
          <w:szCs w:val="20"/>
        </w:rPr>
        <w:t xml:space="preserve"> </w:t>
      </w:r>
      <w:proofErr w:type="spellStart"/>
      <w:r w:rsidRPr="004F1F82">
        <w:rPr>
          <w:rFonts w:ascii="Arial" w:hAnsi="Arial" w:cs="Arial"/>
          <w:i/>
          <w:sz w:val="20"/>
          <w:szCs w:val="20"/>
        </w:rPr>
        <w:t>Djeljalj</w:t>
      </w:r>
      <w:proofErr w:type="spellEnd"/>
      <w:r w:rsidRPr="004F1F82">
        <w:rPr>
          <w:rFonts w:ascii="Arial" w:hAnsi="Arial" w:cs="Arial"/>
          <w:i/>
          <w:sz w:val="20"/>
          <w:szCs w:val="20"/>
        </w:rPr>
        <w:t xml:space="preserve"> against EULEX</w:t>
      </w:r>
      <w:r w:rsidRPr="004F1F82">
        <w:rPr>
          <w:rFonts w:ascii="Arial" w:hAnsi="Arial" w:cs="Arial"/>
          <w:sz w:val="20"/>
          <w:szCs w:val="20"/>
        </w:rPr>
        <w:t>, 8 April 2011, par 68.</w:t>
      </w:r>
    </w:p>
  </w:footnote>
  <w:footnote w:id="114">
    <w:p w14:paraId="55303917" w14:textId="1042DCE1"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Kazagic</w:t>
      </w:r>
      <w:proofErr w:type="spellEnd"/>
      <w:r w:rsidRPr="004F1F82">
        <w:rPr>
          <w:rFonts w:ascii="Arial" w:hAnsi="Arial" w:cs="Arial"/>
          <w:i/>
          <w:sz w:val="20"/>
          <w:szCs w:val="20"/>
        </w:rPr>
        <w:t xml:space="preserve"> </w:t>
      </w:r>
      <w:proofErr w:type="spellStart"/>
      <w:r w:rsidRPr="004F1F82">
        <w:rPr>
          <w:rFonts w:ascii="Arial" w:hAnsi="Arial" w:cs="Arial"/>
          <w:i/>
          <w:sz w:val="20"/>
          <w:szCs w:val="20"/>
        </w:rPr>
        <w:t>Djeljalj</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8 April 2011, par 68, referring to: </w:t>
      </w:r>
      <w:proofErr w:type="spellStart"/>
      <w:r w:rsidRPr="004F1F82">
        <w:rPr>
          <w:rFonts w:ascii="Arial" w:hAnsi="Arial" w:cs="Arial"/>
          <w:sz w:val="20"/>
          <w:szCs w:val="20"/>
        </w:rPr>
        <w:t>Beyeler</w:t>
      </w:r>
      <w:proofErr w:type="spellEnd"/>
      <w:r w:rsidRPr="004F1F82">
        <w:rPr>
          <w:rFonts w:ascii="Arial" w:hAnsi="Arial" w:cs="Arial"/>
          <w:sz w:val="20"/>
          <w:szCs w:val="20"/>
        </w:rPr>
        <w:t xml:space="preserve"> v. Italy [GC], no. 33202/96, § §§ 110 in fine, 114 and 120 in fine, ECHR 2000-I; </w:t>
      </w:r>
      <w:proofErr w:type="spellStart"/>
      <w:r w:rsidRPr="004F1F82">
        <w:rPr>
          <w:rFonts w:ascii="Arial" w:hAnsi="Arial" w:cs="Arial"/>
          <w:sz w:val="20"/>
          <w:szCs w:val="20"/>
        </w:rPr>
        <w:t>Sovtransavto</w:t>
      </w:r>
      <w:proofErr w:type="spellEnd"/>
      <w:r w:rsidRPr="004F1F82">
        <w:rPr>
          <w:rFonts w:ascii="Arial" w:hAnsi="Arial" w:cs="Arial"/>
          <w:sz w:val="20"/>
          <w:szCs w:val="20"/>
        </w:rPr>
        <w:t xml:space="preserve"> Holding v. Ukraine, no. 48553/99, §§ 97-98, ECHR 2002-VII; and </w:t>
      </w:r>
      <w:proofErr w:type="spellStart"/>
      <w:r w:rsidRPr="004F1F82">
        <w:rPr>
          <w:rFonts w:ascii="Arial" w:hAnsi="Arial" w:cs="Arial"/>
          <w:sz w:val="20"/>
          <w:szCs w:val="20"/>
        </w:rPr>
        <w:t>Plechanow</w:t>
      </w:r>
      <w:proofErr w:type="spellEnd"/>
      <w:r w:rsidRPr="004F1F82">
        <w:rPr>
          <w:rFonts w:ascii="Arial" w:hAnsi="Arial" w:cs="Arial"/>
          <w:sz w:val="20"/>
          <w:szCs w:val="20"/>
        </w:rPr>
        <w:t xml:space="preserve"> v. Poland, no. 22279/04, § 102, 7 July 2009.</w:t>
      </w:r>
    </w:p>
  </w:footnote>
  <w:footnote w:id="115">
    <w:p w14:paraId="3F8878B7" w14:textId="6B0BC0A9"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Kazagic</w:t>
      </w:r>
      <w:proofErr w:type="spellEnd"/>
      <w:r w:rsidRPr="004F1F82">
        <w:rPr>
          <w:rFonts w:ascii="Arial" w:hAnsi="Arial" w:cs="Arial"/>
          <w:i/>
          <w:sz w:val="20"/>
          <w:szCs w:val="20"/>
        </w:rPr>
        <w:t xml:space="preserve"> </w:t>
      </w:r>
      <w:proofErr w:type="spellStart"/>
      <w:r w:rsidRPr="004F1F82">
        <w:rPr>
          <w:rFonts w:ascii="Arial" w:hAnsi="Arial" w:cs="Arial"/>
          <w:i/>
          <w:sz w:val="20"/>
          <w:szCs w:val="20"/>
        </w:rPr>
        <w:t>Djeljalj</w:t>
      </w:r>
      <w:proofErr w:type="spellEnd"/>
      <w:r w:rsidRPr="004F1F82">
        <w:rPr>
          <w:rFonts w:ascii="Arial" w:hAnsi="Arial" w:cs="Arial"/>
          <w:i/>
          <w:sz w:val="20"/>
          <w:szCs w:val="20"/>
        </w:rPr>
        <w:t xml:space="preserve"> against EULEX</w:t>
      </w:r>
      <w:r w:rsidRPr="004F1F82">
        <w:rPr>
          <w:rFonts w:ascii="Arial" w:hAnsi="Arial" w:cs="Arial"/>
          <w:sz w:val="20"/>
          <w:szCs w:val="20"/>
        </w:rPr>
        <w:t>, 8 April 2011, par 70.</w:t>
      </w:r>
    </w:p>
  </w:footnote>
  <w:footnote w:id="116">
    <w:p w14:paraId="1FC6EB16" w14:textId="06CB2F4E"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pars 71-72.</w:t>
      </w:r>
    </w:p>
  </w:footnote>
  <w:footnote w:id="117">
    <w:p w14:paraId="00FAB1DB" w14:textId="03C0519B" w:rsidR="00E37AA9" w:rsidRPr="004F1F82" w:rsidRDefault="00E37AA9" w:rsidP="004F1F82">
      <w:pPr>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e.g., </w:t>
      </w:r>
      <w:proofErr w:type="spellStart"/>
      <w:r w:rsidRPr="004F1F82">
        <w:rPr>
          <w:rFonts w:ascii="Arial" w:hAnsi="Arial" w:cs="Arial"/>
          <w:i/>
          <w:sz w:val="20"/>
          <w:szCs w:val="20"/>
        </w:rPr>
        <w:t>Blerim</w:t>
      </w:r>
      <w:proofErr w:type="spellEnd"/>
      <w:r w:rsidRPr="004F1F82">
        <w:rPr>
          <w:rFonts w:ascii="Arial" w:hAnsi="Arial" w:cs="Arial"/>
          <w:i/>
          <w:sz w:val="20"/>
          <w:szCs w:val="20"/>
        </w:rPr>
        <w:t xml:space="preserve"> Rudi against EULEX</w:t>
      </w:r>
      <w:r w:rsidRPr="004F1F82">
        <w:rPr>
          <w:rFonts w:ascii="Arial" w:hAnsi="Arial" w:cs="Arial"/>
          <w:sz w:val="20"/>
          <w:szCs w:val="20"/>
        </w:rPr>
        <w:t xml:space="preserve">, 8 June 2011, par 76 (“The Panel is of the view that the refusal to comply with the IOB decision amounted to an interference with the complainant’s right to the peaceful enjoyment of his possessions.). See also, </w:t>
      </w:r>
      <w:proofErr w:type="spellStart"/>
      <w:r w:rsidRPr="004F1F82">
        <w:rPr>
          <w:rFonts w:ascii="Arial" w:hAnsi="Arial" w:cs="Arial"/>
          <w:i/>
          <w:sz w:val="20"/>
          <w:szCs w:val="20"/>
        </w:rPr>
        <w:t>Kazagic</w:t>
      </w:r>
      <w:proofErr w:type="spellEnd"/>
      <w:r w:rsidRPr="004F1F82">
        <w:rPr>
          <w:rFonts w:ascii="Arial" w:hAnsi="Arial" w:cs="Arial"/>
          <w:i/>
          <w:sz w:val="20"/>
          <w:szCs w:val="20"/>
        </w:rPr>
        <w:t xml:space="preserve"> </w:t>
      </w:r>
      <w:proofErr w:type="spellStart"/>
      <w:r w:rsidRPr="004F1F82">
        <w:rPr>
          <w:rFonts w:ascii="Arial" w:hAnsi="Arial" w:cs="Arial"/>
          <w:i/>
          <w:sz w:val="20"/>
          <w:szCs w:val="20"/>
        </w:rPr>
        <w:t>Djeljalj</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8 April 2011, par 67 (“The Panel recalls the case-law of the Court to the effect that the impossibility for an applicant to obtain the execution of a final court decision in his or her </w:t>
      </w:r>
      <w:proofErr w:type="spellStart"/>
      <w:r w:rsidRPr="004F1F82">
        <w:rPr>
          <w:rFonts w:ascii="Arial" w:hAnsi="Arial" w:cs="Arial"/>
          <w:sz w:val="20"/>
          <w:szCs w:val="20"/>
        </w:rPr>
        <w:t>favour</w:t>
      </w:r>
      <w:proofErr w:type="spellEnd"/>
      <w:r w:rsidRPr="004F1F82">
        <w:rPr>
          <w:rFonts w:ascii="Arial" w:hAnsi="Arial" w:cs="Arial"/>
          <w:sz w:val="20"/>
          <w:szCs w:val="20"/>
        </w:rPr>
        <w:t xml:space="preserve"> constitutes an interference with the right to peaceful enjoyment of possessions, as set out in the first sentence of the first paragraph of Article 1 of Protocol No. 1 to the Convention (see, among many other authorities, </w:t>
      </w:r>
      <w:proofErr w:type="spellStart"/>
      <w:r w:rsidRPr="004F1F82">
        <w:rPr>
          <w:rFonts w:ascii="Arial" w:hAnsi="Arial" w:cs="Arial"/>
          <w:sz w:val="20"/>
          <w:szCs w:val="20"/>
        </w:rPr>
        <w:t>Burdov</w:t>
      </w:r>
      <w:proofErr w:type="spellEnd"/>
      <w:r w:rsidRPr="004F1F82">
        <w:rPr>
          <w:rFonts w:ascii="Arial" w:hAnsi="Arial" w:cs="Arial"/>
          <w:sz w:val="20"/>
          <w:szCs w:val="20"/>
        </w:rPr>
        <w:t xml:space="preserve"> v. Russia, no. 59498-00, § 40, ECHR 2002-III).”)</w:t>
      </w:r>
    </w:p>
  </w:footnote>
  <w:footnote w:id="118">
    <w:p w14:paraId="78F528C4" w14:textId="7F98F3FC"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proofErr w:type="spellStart"/>
      <w:r w:rsidRPr="004F1F82">
        <w:rPr>
          <w:rFonts w:ascii="Arial" w:hAnsi="Arial" w:cs="Arial"/>
          <w:i/>
          <w:sz w:val="20"/>
          <w:szCs w:val="20"/>
        </w:rPr>
        <w:t>Kazagic</w:t>
      </w:r>
      <w:proofErr w:type="spellEnd"/>
      <w:r w:rsidRPr="004F1F82">
        <w:rPr>
          <w:rFonts w:ascii="Arial" w:hAnsi="Arial" w:cs="Arial"/>
          <w:i/>
          <w:sz w:val="20"/>
          <w:szCs w:val="20"/>
        </w:rPr>
        <w:t xml:space="preserve"> </w:t>
      </w:r>
      <w:proofErr w:type="spellStart"/>
      <w:r w:rsidRPr="004F1F82">
        <w:rPr>
          <w:rFonts w:ascii="Arial" w:hAnsi="Arial" w:cs="Arial"/>
          <w:i/>
          <w:sz w:val="20"/>
          <w:szCs w:val="20"/>
        </w:rPr>
        <w:t>Djeljalj</w:t>
      </w:r>
      <w:proofErr w:type="spellEnd"/>
      <w:r w:rsidRPr="004F1F82">
        <w:rPr>
          <w:rFonts w:ascii="Arial" w:hAnsi="Arial" w:cs="Arial"/>
          <w:i/>
          <w:sz w:val="20"/>
          <w:szCs w:val="20"/>
        </w:rPr>
        <w:t xml:space="preserve"> against EULEX</w:t>
      </w:r>
      <w:r w:rsidRPr="004F1F82">
        <w:rPr>
          <w:rFonts w:ascii="Arial" w:hAnsi="Arial" w:cs="Arial"/>
          <w:sz w:val="20"/>
          <w:szCs w:val="20"/>
        </w:rPr>
        <w:t xml:space="preserve">, 8 April 2011, par 69, referring to: </w:t>
      </w:r>
      <w:proofErr w:type="spellStart"/>
      <w:r w:rsidRPr="004F1F82">
        <w:rPr>
          <w:rFonts w:ascii="Arial" w:hAnsi="Arial" w:cs="Arial"/>
          <w:sz w:val="20"/>
          <w:szCs w:val="20"/>
        </w:rPr>
        <w:t>Georgi</w:t>
      </w:r>
      <w:proofErr w:type="spellEnd"/>
      <w:r w:rsidRPr="004F1F82">
        <w:rPr>
          <w:rFonts w:ascii="Arial" w:hAnsi="Arial" w:cs="Arial"/>
          <w:sz w:val="20"/>
          <w:szCs w:val="20"/>
        </w:rPr>
        <w:t xml:space="preserve"> </w:t>
      </w:r>
      <w:proofErr w:type="spellStart"/>
      <w:r w:rsidRPr="004F1F82">
        <w:rPr>
          <w:rFonts w:ascii="Arial" w:hAnsi="Arial" w:cs="Arial"/>
          <w:sz w:val="20"/>
          <w:szCs w:val="20"/>
        </w:rPr>
        <w:t>Marinov</w:t>
      </w:r>
      <w:proofErr w:type="spellEnd"/>
      <w:r w:rsidRPr="004F1F82">
        <w:rPr>
          <w:rFonts w:ascii="Arial" w:hAnsi="Arial" w:cs="Arial"/>
          <w:sz w:val="20"/>
          <w:szCs w:val="20"/>
        </w:rPr>
        <w:t xml:space="preserve"> v. Bulgaria, no. 36103/04.</w:t>
      </w:r>
    </w:p>
  </w:footnote>
  <w:footnote w:id="119">
    <w:p w14:paraId="61B7DAA6" w14:textId="05716E1E"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See, generally, Y.B. against EULEX, 19 October 2016. </w:t>
      </w:r>
    </w:p>
  </w:footnote>
  <w:footnote w:id="120">
    <w:p w14:paraId="5351A077" w14:textId="7478F327"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i/>
          <w:sz w:val="20"/>
          <w:szCs w:val="20"/>
          <w:lang w:val="en-GB"/>
        </w:rPr>
        <w:t>I against EULEX</w:t>
      </w:r>
      <w:r w:rsidRPr="004F1F82">
        <w:rPr>
          <w:rFonts w:ascii="Arial" w:hAnsi="Arial" w:cs="Arial"/>
          <w:sz w:val="20"/>
          <w:szCs w:val="20"/>
          <w:lang w:val="en-GB"/>
        </w:rPr>
        <w:t>, 27 November 2013, pars 18-19</w:t>
      </w:r>
      <w:r w:rsidRPr="004F1F82">
        <w:rPr>
          <w:rFonts w:ascii="Arial" w:hAnsi="Arial" w:cs="Arial"/>
          <w:sz w:val="20"/>
          <w:szCs w:val="20"/>
        </w:rPr>
        <w:t>.</w:t>
      </w:r>
    </w:p>
  </w:footnote>
  <w:footnote w:id="121">
    <w:p w14:paraId="53D9A86A" w14:textId="68BA0191"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w:t>
      </w:r>
      <w:r w:rsidRPr="004F1F82">
        <w:rPr>
          <w:rFonts w:ascii="Arial" w:hAnsi="Arial" w:cs="Arial"/>
          <w:color w:val="222222"/>
          <w:sz w:val="20"/>
          <w:szCs w:val="20"/>
          <w:shd w:val="clear" w:color="auto" w:fill="FFFFFF"/>
        </w:rPr>
        <w:t>Ibid, par 19.</w:t>
      </w:r>
    </w:p>
  </w:footnote>
  <w:footnote w:id="122">
    <w:p w14:paraId="233DA38A" w14:textId="5C34648F" w:rsidR="00E37AA9" w:rsidRPr="004F1F82" w:rsidRDefault="00E37AA9" w:rsidP="004F1F82">
      <w:pPr>
        <w:pStyle w:val="FootnoteText"/>
        <w:jc w:val="both"/>
        <w:rPr>
          <w:rFonts w:ascii="Arial" w:hAnsi="Arial" w:cs="Arial"/>
          <w:sz w:val="20"/>
          <w:szCs w:val="20"/>
        </w:rPr>
      </w:pPr>
      <w:r w:rsidRPr="004F1F82">
        <w:rPr>
          <w:rStyle w:val="FootnoteReference"/>
          <w:rFonts w:ascii="Arial" w:hAnsi="Arial" w:cs="Arial"/>
          <w:sz w:val="20"/>
          <w:szCs w:val="20"/>
        </w:rPr>
        <w:footnoteRef/>
      </w:r>
      <w:r w:rsidRPr="004F1F82">
        <w:rPr>
          <w:rFonts w:ascii="Arial" w:hAnsi="Arial" w:cs="Arial"/>
          <w:sz w:val="20"/>
          <w:szCs w:val="20"/>
        </w:rPr>
        <w:t xml:space="preserve"> Ibid, par 21.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31C3E"/>
    <w:multiLevelType w:val="hybridMultilevel"/>
    <w:tmpl w:val="119857D0"/>
    <w:lvl w:ilvl="0" w:tplc="814E0660">
      <w:start w:val="1"/>
      <w:numFmt w:val="bullet"/>
      <w:lvlText w:val="-"/>
      <w:lvlJc w:val="left"/>
      <w:pPr>
        <w:tabs>
          <w:tab w:val="num" w:pos="1083"/>
        </w:tabs>
        <w:ind w:left="1083" w:hanging="363"/>
      </w:pPr>
      <w:rPr>
        <w:rFonts w:ascii="Times New Roman" w:eastAsia="Times New Roman" w:hAnsi="Times New Roman" w:cs="Times New Roman" w:hint="default"/>
      </w:rPr>
    </w:lvl>
    <w:lvl w:ilvl="1" w:tplc="04090003" w:tentative="1">
      <w:start w:val="1"/>
      <w:numFmt w:val="bullet"/>
      <w:lvlText w:val="o"/>
      <w:lvlJc w:val="left"/>
      <w:pPr>
        <w:tabs>
          <w:tab w:val="num" w:pos="1803"/>
        </w:tabs>
        <w:ind w:left="1803" w:hanging="360"/>
      </w:pPr>
      <w:rPr>
        <w:rFonts w:ascii="Courier New" w:hAnsi="Courier New" w:cs="Arial" w:hint="default"/>
      </w:rPr>
    </w:lvl>
    <w:lvl w:ilvl="2" w:tplc="04090005" w:tentative="1">
      <w:start w:val="1"/>
      <w:numFmt w:val="bullet"/>
      <w:lvlText w:val=""/>
      <w:lvlJc w:val="left"/>
      <w:pPr>
        <w:tabs>
          <w:tab w:val="num" w:pos="2523"/>
        </w:tabs>
        <w:ind w:left="2523" w:hanging="360"/>
      </w:pPr>
      <w:rPr>
        <w:rFonts w:ascii="Wingdings" w:hAnsi="Wingdings" w:hint="default"/>
      </w:rPr>
    </w:lvl>
    <w:lvl w:ilvl="3" w:tplc="04090001" w:tentative="1">
      <w:start w:val="1"/>
      <w:numFmt w:val="bullet"/>
      <w:lvlText w:val=""/>
      <w:lvlJc w:val="left"/>
      <w:pPr>
        <w:tabs>
          <w:tab w:val="num" w:pos="3243"/>
        </w:tabs>
        <w:ind w:left="3243" w:hanging="360"/>
      </w:pPr>
      <w:rPr>
        <w:rFonts w:ascii="Symbol" w:hAnsi="Symbol" w:hint="default"/>
      </w:rPr>
    </w:lvl>
    <w:lvl w:ilvl="4" w:tplc="04090003" w:tentative="1">
      <w:start w:val="1"/>
      <w:numFmt w:val="bullet"/>
      <w:lvlText w:val="o"/>
      <w:lvlJc w:val="left"/>
      <w:pPr>
        <w:tabs>
          <w:tab w:val="num" w:pos="3963"/>
        </w:tabs>
        <w:ind w:left="3963" w:hanging="360"/>
      </w:pPr>
      <w:rPr>
        <w:rFonts w:ascii="Courier New" w:hAnsi="Courier New" w:cs="Arial" w:hint="default"/>
      </w:rPr>
    </w:lvl>
    <w:lvl w:ilvl="5" w:tplc="04090005" w:tentative="1">
      <w:start w:val="1"/>
      <w:numFmt w:val="bullet"/>
      <w:lvlText w:val=""/>
      <w:lvlJc w:val="left"/>
      <w:pPr>
        <w:tabs>
          <w:tab w:val="num" w:pos="4683"/>
        </w:tabs>
        <w:ind w:left="4683" w:hanging="360"/>
      </w:pPr>
      <w:rPr>
        <w:rFonts w:ascii="Wingdings" w:hAnsi="Wingdings" w:hint="default"/>
      </w:rPr>
    </w:lvl>
    <w:lvl w:ilvl="6" w:tplc="04090001" w:tentative="1">
      <w:start w:val="1"/>
      <w:numFmt w:val="bullet"/>
      <w:lvlText w:val=""/>
      <w:lvlJc w:val="left"/>
      <w:pPr>
        <w:tabs>
          <w:tab w:val="num" w:pos="5403"/>
        </w:tabs>
        <w:ind w:left="5403" w:hanging="360"/>
      </w:pPr>
      <w:rPr>
        <w:rFonts w:ascii="Symbol" w:hAnsi="Symbol" w:hint="default"/>
      </w:rPr>
    </w:lvl>
    <w:lvl w:ilvl="7" w:tplc="04090003" w:tentative="1">
      <w:start w:val="1"/>
      <w:numFmt w:val="bullet"/>
      <w:lvlText w:val="o"/>
      <w:lvlJc w:val="left"/>
      <w:pPr>
        <w:tabs>
          <w:tab w:val="num" w:pos="6123"/>
        </w:tabs>
        <w:ind w:left="6123" w:hanging="360"/>
      </w:pPr>
      <w:rPr>
        <w:rFonts w:ascii="Courier New" w:hAnsi="Courier New" w:cs="Arial" w:hint="default"/>
      </w:rPr>
    </w:lvl>
    <w:lvl w:ilvl="8" w:tplc="04090005" w:tentative="1">
      <w:start w:val="1"/>
      <w:numFmt w:val="bullet"/>
      <w:lvlText w:val=""/>
      <w:lvlJc w:val="left"/>
      <w:pPr>
        <w:tabs>
          <w:tab w:val="num" w:pos="6843"/>
        </w:tabs>
        <w:ind w:left="6843" w:hanging="360"/>
      </w:pPr>
      <w:rPr>
        <w:rFonts w:ascii="Wingdings" w:hAnsi="Wingdings" w:hint="default"/>
      </w:rPr>
    </w:lvl>
  </w:abstractNum>
  <w:abstractNum w:abstractNumId="1" w15:restartNumberingAfterBreak="0">
    <w:nsid w:val="0A3708CF"/>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 w15:restartNumberingAfterBreak="0">
    <w:nsid w:val="106D4B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6F1FE0"/>
    <w:multiLevelType w:val="multilevel"/>
    <w:tmpl w:val="1892FF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CC1ABD"/>
    <w:multiLevelType w:val="hybridMultilevel"/>
    <w:tmpl w:val="B5CE106C"/>
    <w:lvl w:ilvl="0" w:tplc="25A44636">
      <w:start w:val="1"/>
      <w:numFmt w:val="decimal"/>
      <w:lvlText w:val="%1."/>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11607F3"/>
    <w:multiLevelType w:val="hybridMultilevel"/>
    <w:tmpl w:val="49501018"/>
    <w:lvl w:ilvl="0" w:tplc="1D0E01D6">
      <w:start w:val="1"/>
      <w:numFmt w:val="decimal"/>
      <w:lvlText w:val="%1."/>
      <w:lvlJc w:val="left"/>
      <w:pPr>
        <w:tabs>
          <w:tab w:val="num" w:pos="720"/>
        </w:tabs>
        <w:ind w:left="720" w:hanging="720"/>
      </w:pPr>
      <w:rPr>
        <w:rFonts w:ascii="Arial" w:hAnsi="Arial" w:cs="Arial" w:hint="default"/>
        <w:sz w:val="22"/>
        <w:szCs w:val="22"/>
      </w:rPr>
    </w:lvl>
    <w:lvl w:ilvl="1" w:tplc="814E0660">
      <w:start w:val="1"/>
      <w:numFmt w:val="bullet"/>
      <w:lvlText w:val="-"/>
      <w:lvlJc w:val="left"/>
      <w:pPr>
        <w:tabs>
          <w:tab w:val="num" w:pos="1443"/>
        </w:tabs>
        <w:ind w:left="1443" w:hanging="363"/>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1835510"/>
    <w:multiLevelType w:val="hybridMultilevel"/>
    <w:tmpl w:val="C6961B82"/>
    <w:lvl w:ilvl="0" w:tplc="25A44636">
      <w:start w:val="1"/>
      <w:numFmt w:val="decimal"/>
      <w:lvlText w:val="%1."/>
      <w:lvlJc w:val="left"/>
      <w:pPr>
        <w:tabs>
          <w:tab w:val="num" w:pos="720"/>
        </w:tabs>
        <w:ind w:left="720" w:hanging="720"/>
      </w:pPr>
      <w:rPr>
        <w:rFonts w:cs="Times New Roman"/>
      </w:rPr>
    </w:lvl>
    <w:lvl w:ilvl="1" w:tplc="BEFE86F6">
      <w:start w:val="2"/>
      <w:numFmt w:val="bullet"/>
      <w:lvlText w:val="-"/>
      <w:lvlJc w:val="left"/>
      <w:pPr>
        <w:tabs>
          <w:tab w:val="num" w:pos="1440"/>
        </w:tabs>
        <w:ind w:left="1440" w:hanging="360"/>
      </w:pPr>
      <w:rPr>
        <w:rFonts w:ascii="Arial" w:eastAsia="Times New Roman" w:hAnsi="Arial" w:hint="default"/>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7" w15:restartNumberingAfterBreak="0">
    <w:nsid w:val="36465E72"/>
    <w:multiLevelType w:val="multilevel"/>
    <w:tmpl w:val="F75E99D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C251960"/>
    <w:multiLevelType w:val="multilevel"/>
    <w:tmpl w:val="BEE29578"/>
    <w:styleLink w:val="WWNum1"/>
    <w:lvl w:ilvl="0">
      <w:start w:val="1"/>
      <w:numFmt w:val="decimal"/>
      <w:lvlText w:val="%1."/>
      <w:lvlJc w:val="left"/>
      <w:rPr>
        <w:b w:val="0"/>
      </w:rPr>
    </w:lvl>
    <w:lvl w:ilvl="1">
      <w:numFmt w:val="bullet"/>
      <w:lvlText w:val="-"/>
      <w:lvlJc w:val="left"/>
      <w:rPr>
        <w:rFonts w:ascii="Times New Roman" w:eastAsia="Times New Roman" w:hAnsi="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9" w15:restartNumberingAfterBreak="0">
    <w:nsid w:val="3DFF1BC1"/>
    <w:multiLevelType w:val="hybridMultilevel"/>
    <w:tmpl w:val="887EDA1A"/>
    <w:lvl w:ilvl="0" w:tplc="3FDC3A0E">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114909"/>
    <w:multiLevelType w:val="hybridMultilevel"/>
    <w:tmpl w:val="DCEE466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A52C5C"/>
    <w:multiLevelType w:val="multilevel"/>
    <w:tmpl w:val="E4A65FD4"/>
    <w:lvl w:ilvl="0">
      <w:start w:val="3"/>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2" w15:restartNumberingAfterBreak="0">
    <w:nsid w:val="42881E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2AF668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A1D755D"/>
    <w:multiLevelType w:val="hybridMultilevel"/>
    <w:tmpl w:val="2542CF66"/>
    <w:lvl w:ilvl="0" w:tplc="0409000F">
      <w:start w:val="1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E3257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3D8442F"/>
    <w:multiLevelType w:val="multilevel"/>
    <w:tmpl w:val="FE2474E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4947DC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4B43737"/>
    <w:multiLevelType w:val="hybridMultilevel"/>
    <w:tmpl w:val="14FA1A96"/>
    <w:lvl w:ilvl="0" w:tplc="F8A6B722">
      <w:start w:val="1"/>
      <w:numFmt w:val="decimal"/>
      <w:lvlText w:val="%1."/>
      <w:lvlJc w:val="left"/>
      <w:pPr>
        <w:tabs>
          <w:tab w:val="num" w:pos="720"/>
        </w:tabs>
        <w:ind w:left="720" w:hanging="720"/>
      </w:pPr>
      <w:rPr>
        <w:rFonts w:cs="Times New Roman"/>
        <w:b w:val="0"/>
        <w:i w:val="0"/>
      </w:rPr>
    </w:lvl>
    <w:lvl w:ilvl="1" w:tplc="0409000F">
      <w:start w:val="1"/>
      <w:numFmt w:val="decimal"/>
      <w:lvlText w:val="%2."/>
      <w:lvlJc w:val="left"/>
      <w:pPr>
        <w:ind w:left="1080" w:hanging="360"/>
      </w:pPr>
    </w:lvl>
    <w:lvl w:ilvl="2" w:tplc="EBB2C058">
      <w:start w:val="1"/>
      <w:numFmt w:val="lowerRoman"/>
      <w:lvlText w:val="%3."/>
      <w:lvlJc w:val="left"/>
      <w:pPr>
        <w:tabs>
          <w:tab w:val="num" w:pos="2340"/>
        </w:tabs>
        <w:ind w:left="2340" w:hanging="720"/>
      </w:pPr>
      <w:rPr>
        <w:rFonts w:hint="default"/>
      </w:rPr>
    </w:lvl>
    <w:lvl w:ilvl="3" w:tplc="0409000F">
      <w:start w:val="1"/>
      <w:numFmt w:val="decimal"/>
      <w:lvlText w:val="%4."/>
      <w:lvlJc w:val="left"/>
      <w:pPr>
        <w:tabs>
          <w:tab w:val="num" w:pos="2520"/>
        </w:tabs>
        <w:ind w:left="2520" w:hanging="360"/>
      </w:pPr>
      <w:rPr>
        <w:b w:val="0"/>
        <w:i w:val="0"/>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447F74"/>
    <w:multiLevelType w:val="hybridMultilevel"/>
    <w:tmpl w:val="637E4822"/>
    <w:lvl w:ilvl="0" w:tplc="56B23C52">
      <w:start w:val="1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6445C0"/>
    <w:multiLevelType w:val="multilevel"/>
    <w:tmpl w:val="2BB079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61C16D17"/>
    <w:multiLevelType w:val="hybridMultilevel"/>
    <w:tmpl w:val="9402B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7DC370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3A09C9"/>
    <w:multiLevelType w:val="multilevel"/>
    <w:tmpl w:val="032C229E"/>
    <w:lvl w:ilvl="0">
      <w:start w:val="1"/>
      <w:numFmt w:val="decimal"/>
      <w:pStyle w:val="Heading1"/>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70151E0A"/>
    <w:multiLevelType w:val="multilevel"/>
    <w:tmpl w:val="80ACAB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7BE0414"/>
    <w:multiLevelType w:val="hybridMultilevel"/>
    <w:tmpl w:val="FDDC7F0C"/>
    <w:lvl w:ilvl="0" w:tplc="0EE47EE0">
      <w:start w:val="1"/>
      <w:numFmt w:val="decimal"/>
      <w:lvlText w:val="%1."/>
      <w:lvlJc w:val="left"/>
      <w:pPr>
        <w:ind w:left="720" w:hanging="360"/>
      </w:pPr>
      <w:rPr>
        <w:rFonts w:ascii="Arial" w:hAnsi="Arial" w:cs="Arial" w:hint="default"/>
        <w:sz w:val="22"/>
        <w:szCs w:val="22"/>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6" w15:restartNumberingAfterBreak="0">
    <w:nsid w:val="7BCE5701"/>
    <w:multiLevelType w:val="multilevel"/>
    <w:tmpl w:val="2BB079E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7C4E216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534B34"/>
    <w:multiLevelType w:val="multilevel"/>
    <w:tmpl w:val="77E89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8"/>
  </w:num>
  <w:num w:numId="3">
    <w:abstractNumId w:val="0"/>
  </w:num>
  <w:num w:numId="4">
    <w:abstractNumId w:val="4"/>
  </w:num>
  <w:num w:numId="5">
    <w:abstractNumId w:val="17"/>
  </w:num>
  <w:num w:numId="6">
    <w:abstractNumId w:val="15"/>
  </w:num>
  <w:num w:numId="7">
    <w:abstractNumId w:val="12"/>
  </w:num>
  <w:num w:numId="8">
    <w:abstractNumId w:val="28"/>
  </w:num>
  <w:num w:numId="9">
    <w:abstractNumId w:val="13"/>
  </w:num>
  <w:num w:numId="10">
    <w:abstractNumId w:val="22"/>
  </w:num>
  <w:num w:numId="11">
    <w:abstractNumId w:val="8"/>
    <w:lvlOverride w:ilvl="0">
      <w:lvl w:ilvl="0">
        <w:start w:val="1"/>
        <w:numFmt w:val="decimal"/>
        <w:lvlText w:val="%1."/>
        <w:lvlJc w:val="left"/>
        <w:rPr>
          <w:rFonts w:ascii="Arial" w:hAnsi="Arial" w:cs="Arial" w:hint="default"/>
          <w:b w:val="0"/>
          <w:sz w:val="22"/>
          <w:szCs w:val="22"/>
        </w:rPr>
      </w:lvl>
    </w:lvlOverride>
  </w:num>
  <w:num w:numId="12">
    <w:abstractNumId w:val="8"/>
    <w:lvlOverride w:ilvl="0">
      <w:lvl w:ilvl="0">
        <w:start w:val="1"/>
        <w:numFmt w:val="decimal"/>
        <w:lvlText w:val="%1."/>
        <w:lvlJc w:val="left"/>
        <w:rPr>
          <w:b w:val="0"/>
        </w:rPr>
      </w:lvl>
    </w:lvlOverride>
    <w:lvlOverride w:ilvl="1">
      <w:lvl w:ilvl="1">
        <w:numFmt w:val="bullet"/>
        <w:lvlText w:val="-"/>
        <w:lvlJc w:val="left"/>
        <w:rPr>
          <w:rFonts w:ascii="Times New Roman" w:eastAsia="Times New Roman" w:hAnsi="Times New Roman"/>
        </w:rPr>
      </w:lvl>
    </w:lvlOverride>
    <w:lvlOverride w:ilvl="2">
      <w:lvl w:ilvl="2">
        <w:start w:val="1"/>
        <w:numFmt w:val="lowerRoman"/>
        <w:lvlText w:val="%1.%2.%3."/>
        <w:lvlJc w:val="right"/>
        <w:rPr>
          <w:rFonts w:cs="Times New Roman"/>
        </w:rPr>
      </w:lvl>
    </w:lvlOverride>
    <w:lvlOverride w:ilvl="3">
      <w:lvl w:ilvl="3">
        <w:start w:val="1"/>
        <w:numFmt w:val="decimal"/>
        <w:lvlText w:val="%1.%2.%3.%4."/>
        <w:lvlJc w:val="left"/>
        <w:rPr>
          <w:rFonts w:cs="Times New Roman"/>
        </w:rPr>
      </w:lvl>
    </w:lvlOverride>
    <w:lvlOverride w:ilvl="4">
      <w:lvl w:ilvl="4">
        <w:start w:val="1"/>
        <w:numFmt w:val="lowerLetter"/>
        <w:lvlText w:val="%1.%2.%3.%4.%5."/>
        <w:lvlJc w:val="left"/>
        <w:rPr>
          <w:rFonts w:cs="Times New Roman"/>
        </w:rPr>
      </w:lvl>
    </w:lvlOverride>
    <w:lvlOverride w:ilvl="5">
      <w:lvl w:ilvl="5">
        <w:start w:val="1"/>
        <w:numFmt w:val="lowerRoman"/>
        <w:lvlText w:val="%1.%2.%3.%4.%5.%6."/>
        <w:lvlJc w:val="right"/>
        <w:rPr>
          <w:rFonts w:cs="Times New Roman"/>
        </w:rPr>
      </w:lvl>
    </w:lvlOverride>
    <w:lvlOverride w:ilvl="6">
      <w:lvl w:ilvl="6">
        <w:start w:val="1"/>
        <w:numFmt w:val="decimal"/>
        <w:lvlText w:val="%1.%2.%3.%4.%5.%6.%7."/>
        <w:lvlJc w:val="left"/>
        <w:rPr>
          <w:rFonts w:cs="Times New Roman"/>
        </w:rPr>
      </w:lvl>
    </w:lvlOverride>
    <w:lvlOverride w:ilvl="7">
      <w:lvl w:ilvl="7">
        <w:start w:val="1"/>
        <w:numFmt w:val="lowerLetter"/>
        <w:lvlText w:val="%1.%2.%3.%4.%5.%6.%7.%8."/>
        <w:lvlJc w:val="left"/>
        <w:rPr>
          <w:rFonts w:cs="Times New Roman"/>
        </w:rPr>
      </w:lvl>
    </w:lvlOverride>
    <w:lvlOverride w:ilvl="8">
      <w:lvl w:ilvl="8">
        <w:start w:val="1"/>
        <w:numFmt w:val="lowerRoman"/>
        <w:lvlText w:val="%1.%2.%3.%4.%5.%6.%7.%8.%9."/>
        <w:lvlJc w:val="right"/>
        <w:rPr>
          <w:rFonts w:cs="Times New Roman"/>
        </w:rPr>
      </w:lvl>
    </w:lvlOverride>
  </w:num>
  <w:num w:numId="13">
    <w:abstractNumId w:val="1"/>
  </w:num>
  <w:num w:numId="14">
    <w:abstractNumId w:val="2"/>
  </w:num>
  <w:num w:numId="15">
    <w:abstractNumId w:val="27"/>
  </w:num>
  <w:num w:numId="16">
    <w:abstractNumId w:val="3"/>
  </w:num>
  <w:num w:numId="17">
    <w:abstractNumId w:val="24"/>
  </w:num>
  <w:num w:numId="18">
    <w:abstractNumId w:val="10"/>
  </w:num>
  <w:num w:numId="19">
    <w:abstractNumId w:val="20"/>
  </w:num>
  <w:num w:numId="20">
    <w:abstractNumId w:val="11"/>
  </w:num>
  <w:num w:numId="21">
    <w:abstractNumId w:val="7"/>
  </w:num>
  <w:num w:numId="22">
    <w:abstractNumId w:val="16"/>
  </w:num>
  <w:num w:numId="23">
    <w:abstractNumId w:val="26"/>
  </w:num>
  <w:num w:numId="24">
    <w:abstractNumId w:val="23"/>
  </w:num>
  <w:num w:numId="25">
    <w:abstractNumId w:val="21"/>
  </w:num>
  <w:num w:numId="26">
    <w:abstractNumId w:val="19"/>
  </w:num>
  <w:num w:numId="27">
    <w:abstractNumId w:val="5"/>
  </w:num>
  <w:num w:numId="28">
    <w:abstractNumId w:val="9"/>
  </w:num>
  <w:num w:numId="29">
    <w:abstractNumId w:val="6"/>
  </w:num>
  <w:num w:numId="30">
    <w:abstractNumId w:val="14"/>
  </w:num>
  <w:num w:numId="31">
    <w:abstractNumId w:val="25"/>
  </w:num>
  <w:num w:numId="32">
    <w:abstractNumId w:val="23"/>
    <w:lvlOverride w:ilvl="0">
      <w:startOverride w:val="3"/>
    </w:lvlOverride>
    <w:lvlOverride w:ilvl="1">
      <w:startOverride w:val="8"/>
    </w:lvlOverride>
    <w:lvlOverride w:ilvl="2">
      <w:startOverride w:val="1"/>
    </w:lvlOverride>
  </w:num>
  <w:num w:numId="33">
    <w:abstractNumId w:val="23"/>
    <w:lvlOverride w:ilvl="0">
      <w:startOverride w:val="3"/>
    </w:lvlOverride>
    <w:lvlOverride w:ilvl="1">
      <w:startOverride w:val="8"/>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BB0"/>
    <w:rsid w:val="0000023B"/>
    <w:rsid w:val="000031E1"/>
    <w:rsid w:val="00003923"/>
    <w:rsid w:val="00006643"/>
    <w:rsid w:val="000121A7"/>
    <w:rsid w:val="00012A5E"/>
    <w:rsid w:val="000135BE"/>
    <w:rsid w:val="000136F8"/>
    <w:rsid w:val="00014058"/>
    <w:rsid w:val="000253DF"/>
    <w:rsid w:val="000273DC"/>
    <w:rsid w:val="00031F44"/>
    <w:rsid w:val="0003424C"/>
    <w:rsid w:val="00035901"/>
    <w:rsid w:val="000373E1"/>
    <w:rsid w:val="0004077D"/>
    <w:rsid w:val="0004457D"/>
    <w:rsid w:val="00046627"/>
    <w:rsid w:val="0004724C"/>
    <w:rsid w:val="00051E96"/>
    <w:rsid w:val="000536F2"/>
    <w:rsid w:val="000549C0"/>
    <w:rsid w:val="000562AC"/>
    <w:rsid w:val="0005661D"/>
    <w:rsid w:val="00060B84"/>
    <w:rsid w:val="00063BD7"/>
    <w:rsid w:val="00075D20"/>
    <w:rsid w:val="00076909"/>
    <w:rsid w:val="0008194B"/>
    <w:rsid w:val="00083B7B"/>
    <w:rsid w:val="00083CA9"/>
    <w:rsid w:val="000840CF"/>
    <w:rsid w:val="000B4348"/>
    <w:rsid w:val="000B5269"/>
    <w:rsid w:val="000B55C3"/>
    <w:rsid w:val="000C0C60"/>
    <w:rsid w:val="000D46E6"/>
    <w:rsid w:val="000E0446"/>
    <w:rsid w:val="000E21D8"/>
    <w:rsid w:val="000E2E82"/>
    <w:rsid w:val="000F25B2"/>
    <w:rsid w:val="000F25E3"/>
    <w:rsid w:val="000F7F07"/>
    <w:rsid w:val="001003FB"/>
    <w:rsid w:val="00101E00"/>
    <w:rsid w:val="00102160"/>
    <w:rsid w:val="001052EA"/>
    <w:rsid w:val="00105F3C"/>
    <w:rsid w:val="00106A04"/>
    <w:rsid w:val="00110AD0"/>
    <w:rsid w:val="00114E71"/>
    <w:rsid w:val="0011722F"/>
    <w:rsid w:val="00117280"/>
    <w:rsid w:val="0012182F"/>
    <w:rsid w:val="001225DA"/>
    <w:rsid w:val="00131881"/>
    <w:rsid w:val="0013281C"/>
    <w:rsid w:val="00133BC9"/>
    <w:rsid w:val="00143151"/>
    <w:rsid w:val="0014458D"/>
    <w:rsid w:val="00144E57"/>
    <w:rsid w:val="00151192"/>
    <w:rsid w:val="00154B37"/>
    <w:rsid w:val="001603CD"/>
    <w:rsid w:val="00161EE6"/>
    <w:rsid w:val="0016282E"/>
    <w:rsid w:val="00165ABC"/>
    <w:rsid w:val="00166ADC"/>
    <w:rsid w:val="0017408F"/>
    <w:rsid w:val="00175315"/>
    <w:rsid w:val="001753AA"/>
    <w:rsid w:val="00177978"/>
    <w:rsid w:val="001A2571"/>
    <w:rsid w:val="001B1252"/>
    <w:rsid w:val="001B3639"/>
    <w:rsid w:val="001B5EFC"/>
    <w:rsid w:val="001C2351"/>
    <w:rsid w:val="001C3D4E"/>
    <w:rsid w:val="001C3F43"/>
    <w:rsid w:val="001D55AE"/>
    <w:rsid w:val="001D5FD7"/>
    <w:rsid w:val="001E14E3"/>
    <w:rsid w:val="001E7AE7"/>
    <w:rsid w:val="001F03C5"/>
    <w:rsid w:val="001F4AE2"/>
    <w:rsid w:val="001F566D"/>
    <w:rsid w:val="001F7EB8"/>
    <w:rsid w:val="002014AA"/>
    <w:rsid w:val="002015B8"/>
    <w:rsid w:val="00207FED"/>
    <w:rsid w:val="00210375"/>
    <w:rsid w:val="002119A4"/>
    <w:rsid w:val="00212262"/>
    <w:rsid w:val="00213177"/>
    <w:rsid w:val="00213193"/>
    <w:rsid w:val="00214796"/>
    <w:rsid w:val="0021693D"/>
    <w:rsid w:val="002234EB"/>
    <w:rsid w:val="00223C31"/>
    <w:rsid w:val="00231CBF"/>
    <w:rsid w:val="002323A2"/>
    <w:rsid w:val="00234C82"/>
    <w:rsid w:val="00234E4C"/>
    <w:rsid w:val="00236DFB"/>
    <w:rsid w:val="002375C6"/>
    <w:rsid w:val="00244569"/>
    <w:rsid w:val="00253985"/>
    <w:rsid w:val="00253E4A"/>
    <w:rsid w:val="00255A4C"/>
    <w:rsid w:val="00256337"/>
    <w:rsid w:val="00257576"/>
    <w:rsid w:val="0026159C"/>
    <w:rsid w:val="00262FBC"/>
    <w:rsid w:val="00265D5D"/>
    <w:rsid w:val="002704D2"/>
    <w:rsid w:val="00274F43"/>
    <w:rsid w:val="00285F14"/>
    <w:rsid w:val="00292BB8"/>
    <w:rsid w:val="0029409A"/>
    <w:rsid w:val="00295192"/>
    <w:rsid w:val="002A017E"/>
    <w:rsid w:val="002A19F5"/>
    <w:rsid w:val="002A1B6A"/>
    <w:rsid w:val="002A1E2A"/>
    <w:rsid w:val="002A43AE"/>
    <w:rsid w:val="002A57D4"/>
    <w:rsid w:val="002A6BE4"/>
    <w:rsid w:val="002B74CB"/>
    <w:rsid w:val="002B7AF0"/>
    <w:rsid w:val="002C133F"/>
    <w:rsid w:val="002C1ECA"/>
    <w:rsid w:val="002C464F"/>
    <w:rsid w:val="002C4F2E"/>
    <w:rsid w:val="002C66DB"/>
    <w:rsid w:val="002C7ACC"/>
    <w:rsid w:val="002D06B5"/>
    <w:rsid w:val="002D59A8"/>
    <w:rsid w:val="002E0FAD"/>
    <w:rsid w:val="002E2221"/>
    <w:rsid w:val="002E29EF"/>
    <w:rsid w:val="002E7668"/>
    <w:rsid w:val="002E7D3B"/>
    <w:rsid w:val="002F0081"/>
    <w:rsid w:val="002F5FB6"/>
    <w:rsid w:val="002F7CB8"/>
    <w:rsid w:val="00313945"/>
    <w:rsid w:val="0032060B"/>
    <w:rsid w:val="00322DD6"/>
    <w:rsid w:val="003233C5"/>
    <w:rsid w:val="00323BCF"/>
    <w:rsid w:val="00324CF0"/>
    <w:rsid w:val="00324EBF"/>
    <w:rsid w:val="00325578"/>
    <w:rsid w:val="003272D8"/>
    <w:rsid w:val="00332DF5"/>
    <w:rsid w:val="00334DBB"/>
    <w:rsid w:val="003415A8"/>
    <w:rsid w:val="00344C99"/>
    <w:rsid w:val="00347159"/>
    <w:rsid w:val="003508AF"/>
    <w:rsid w:val="00355FB6"/>
    <w:rsid w:val="00361BEB"/>
    <w:rsid w:val="00364028"/>
    <w:rsid w:val="00364A37"/>
    <w:rsid w:val="003749A4"/>
    <w:rsid w:val="00376C02"/>
    <w:rsid w:val="0038180B"/>
    <w:rsid w:val="0038288C"/>
    <w:rsid w:val="00385157"/>
    <w:rsid w:val="00387448"/>
    <w:rsid w:val="00392F0A"/>
    <w:rsid w:val="00393192"/>
    <w:rsid w:val="003933C5"/>
    <w:rsid w:val="003943B6"/>
    <w:rsid w:val="00394DB8"/>
    <w:rsid w:val="003954A5"/>
    <w:rsid w:val="00397540"/>
    <w:rsid w:val="003A06C9"/>
    <w:rsid w:val="003A6FB8"/>
    <w:rsid w:val="003B6354"/>
    <w:rsid w:val="003B7C06"/>
    <w:rsid w:val="003C1B73"/>
    <w:rsid w:val="003C2036"/>
    <w:rsid w:val="003C4C65"/>
    <w:rsid w:val="003C61E5"/>
    <w:rsid w:val="003C7D3F"/>
    <w:rsid w:val="003D0D0D"/>
    <w:rsid w:val="003D2EA9"/>
    <w:rsid w:val="003E5F56"/>
    <w:rsid w:val="003E6133"/>
    <w:rsid w:val="003F652A"/>
    <w:rsid w:val="003F68A4"/>
    <w:rsid w:val="003F7550"/>
    <w:rsid w:val="00402630"/>
    <w:rsid w:val="004058FE"/>
    <w:rsid w:val="00405CA3"/>
    <w:rsid w:val="00412C92"/>
    <w:rsid w:val="0041415D"/>
    <w:rsid w:val="004144E2"/>
    <w:rsid w:val="004176F6"/>
    <w:rsid w:val="00426178"/>
    <w:rsid w:val="004268C3"/>
    <w:rsid w:val="0043409D"/>
    <w:rsid w:val="00434705"/>
    <w:rsid w:val="004360FF"/>
    <w:rsid w:val="004364FB"/>
    <w:rsid w:val="00436F19"/>
    <w:rsid w:val="004428E0"/>
    <w:rsid w:val="004439A6"/>
    <w:rsid w:val="00447C43"/>
    <w:rsid w:val="004539AB"/>
    <w:rsid w:val="004541ED"/>
    <w:rsid w:val="00454A46"/>
    <w:rsid w:val="00460AB8"/>
    <w:rsid w:val="00467606"/>
    <w:rsid w:val="00467C27"/>
    <w:rsid w:val="004712D5"/>
    <w:rsid w:val="00472143"/>
    <w:rsid w:val="00480632"/>
    <w:rsid w:val="00485013"/>
    <w:rsid w:val="00485914"/>
    <w:rsid w:val="00485D7B"/>
    <w:rsid w:val="004906BD"/>
    <w:rsid w:val="00491A20"/>
    <w:rsid w:val="00496C3D"/>
    <w:rsid w:val="004A011E"/>
    <w:rsid w:val="004A1435"/>
    <w:rsid w:val="004A6013"/>
    <w:rsid w:val="004B09A3"/>
    <w:rsid w:val="004B3536"/>
    <w:rsid w:val="004C1080"/>
    <w:rsid w:val="004C114F"/>
    <w:rsid w:val="004C4E89"/>
    <w:rsid w:val="004D28E2"/>
    <w:rsid w:val="004D43CA"/>
    <w:rsid w:val="004E4C3A"/>
    <w:rsid w:val="004E5AE7"/>
    <w:rsid w:val="004E6387"/>
    <w:rsid w:val="004E6A35"/>
    <w:rsid w:val="004F166D"/>
    <w:rsid w:val="004F1998"/>
    <w:rsid w:val="004F1F82"/>
    <w:rsid w:val="004F6ED1"/>
    <w:rsid w:val="004F7C1D"/>
    <w:rsid w:val="00503054"/>
    <w:rsid w:val="005064B4"/>
    <w:rsid w:val="0051067C"/>
    <w:rsid w:val="00512581"/>
    <w:rsid w:val="00523031"/>
    <w:rsid w:val="00524985"/>
    <w:rsid w:val="005431BD"/>
    <w:rsid w:val="0055374A"/>
    <w:rsid w:val="0055433C"/>
    <w:rsid w:val="005547C0"/>
    <w:rsid w:val="005555B6"/>
    <w:rsid w:val="00557CE6"/>
    <w:rsid w:val="005608CB"/>
    <w:rsid w:val="0056252A"/>
    <w:rsid w:val="00565085"/>
    <w:rsid w:val="0057087C"/>
    <w:rsid w:val="0058462B"/>
    <w:rsid w:val="00584ACC"/>
    <w:rsid w:val="00584B31"/>
    <w:rsid w:val="00585DE4"/>
    <w:rsid w:val="00587339"/>
    <w:rsid w:val="00590FCE"/>
    <w:rsid w:val="00591649"/>
    <w:rsid w:val="00596F06"/>
    <w:rsid w:val="005A0A09"/>
    <w:rsid w:val="005A2758"/>
    <w:rsid w:val="005B1267"/>
    <w:rsid w:val="005B3452"/>
    <w:rsid w:val="005B3A53"/>
    <w:rsid w:val="005B3FB2"/>
    <w:rsid w:val="005B4881"/>
    <w:rsid w:val="005B5061"/>
    <w:rsid w:val="005B62F7"/>
    <w:rsid w:val="005B7E0D"/>
    <w:rsid w:val="005B7FD2"/>
    <w:rsid w:val="005C25B7"/>
    <w:rsid w:val="005C2D3A"/>
    <w:rsid w:val="005C334A"/>
    <w:rsid w:val="005D0A43"/>
    <w:rsid w:val="005D2E56"/>
    <w:rsid w:val="005D6CC8"/>
    <w:rsid w:val="005D6F84"/>
    <w:rsid w:val="005D721A"/>
    <w:rsid w:val="005E00AF"/>
    <w:rsid w:val="005E0124"/>
    <w:rsid w:val="005E1132"/>
    <w:rsid w:val="005E1888"/>
    <w:rsid w:val="005E1943"/>
    <w:rsid w:val="005E75A5"/>
    <w:rsid w:val="005F1499"/>
    <w:rsid w:val="005F21F8"/>
    <w:rsid w:val="005F29CB"/>
    <w:rsid w:val="005F2C68"/>
    <w:rsid w:val="005F7962"/>
    <w:rsid w:val="006001FD"/>
    <w:rsid w:val="00601294"/>
    <w:rsid w:val="00603554"/>
    <w:rsid w:val="00604ADB"/>
    <w:rsid w:val="00607649"/>
    <w:rsid w:val="0060789E"/>
    <w:rsid w:val="0061018F"/>
    <w:rsid w:val="00612075"/>
    <w:rsid w:val="00613A86"/>
    <w:rsid w:val="0061643B"/>
    <w:rsid w:val="006214CF"/>
    <w:rsid w:val="00621F8D"/>
    <w:rsid w:val="00623658"/>
    <w:rsid w:val="00623CA6"/>
    <w:rsid w:val="006246BF"/>
    <w:rsid w:val="00630A80"/>
    <w:rsid w:val="00631198"/>
    <w:rsid w:val="00631E31"/>
    <w:rsid w:val="00633097"/>
    <w:rsid w:val="00635076"/>
    <w:rsid w:val="00640E5A"/>
    <w:rsid w:val="00645D99"/>
    <w:rsid w:val="00646862"/>
    <w:rsid w:val="00651086"/>
    <w:rsid w:val="00651E8A"/>
    <w:rsid w:val="00652C9F"/>
    <w:rsid w:val="006535EC"/>
    <w:rsid w:val="00653D07"/>
    <w:rsid w:val="0065583C"/>
    <w:rsid w:val="006560BE"/>
    <w:rsid w:val="0066567B"/>
    <w:rsid w:val="00665C55"/>
    <w:rsid w:val="0068309F"/>
    <w:rsid w:val="00683C4E"/>
    <w:rsid w:val="00686745"/>
    <w:rsid w:val="006873BF"/>
    <w:rsid w:val="0069099E"/>
    <w:rsid w:val="0069753D"/>
    <w:rsid w:val="006A16CB"/>
    <w:rsid w:val="006A46F3"/>
    <w:rsid w:val="006C088F"/>
    <w:rsid w:val="006C2BF1"/>
    <w:rsid w:val="006C3443"/>
    <w:rsid w:val="006C3481"/>
    <w:rsid w:val="006C39E1"/>
    <w:rsid w:val="006C4CBB"/>
    <w:rsid w:val="006C740D"/>
    <w:rsid w:val="006C7973"/>
    <w:rsid w:val="006D2B92"/>
    <w:rsid w:val="006D5086"/>
    <w:rsid w:val="006E0067"/>
    <w:rsid w:val="006E086B"/>
    <w:rsid w:val="006E1920"/>
    <w:rsid w:val="006E1ED9"/>
    <w:rsid w:val="006E2135"/>
    <w:rsid w:val="006E2D4B"/>
    <w:rsid w:val="006F3888"/>
    <w:rsid w:val="007100DD"/>
    <w:rsid w:val="00714C85"/>
    <w:rsid w:val="007222A0"/>
    <w:rsid w:val="007259F7"/>
    <w:rsid w:val="00725BA6"/>
    <w:rsid w:val="00725F15"/>
    <w:rsid w:val="007319FD"/>
    <w:rsid w:val="00734952"/>
    <w:rsid w:val="00735345"/>
    <w:rsid w:val="007374EA"/>
    <w:rsid w:val="0074257A"/>
    <w:rsid w:val="00744E0D"/>
    <w:rsid w:val="00751D33"/>
    <w:rsid w:val="00754A81"/>
    <w:rsid w:val="00754A93"/>
    <w:rsid w:val="007552D4"/>
    <w:rsid w:val="00756C27"/>
    <w:rsid w:val="00757933"/>
    <w:rsid w:val="00760CFE"/>
    <w:rsid w:val="007700A2"/>
    <w:rsid w:val="00791EDE"/>
    <w:rsid w:val="00796402"/>
    <w:rsid w:val="007968D3"/>
    <w:rsid w:val="00797FE3"/>
    <w:rsid w:val="007A364D"/>
    <w:rsid w:val="007A55BA"/>
    <w:rsid w:val="007B24AF"/>
    <w:rsid w:val="007B257B"/>
    <w:rsid w:val="007B3B0E"/>
    <w:rsid w:val="007B545E"/>
    <w:rsid w:val="007C5005"/>
    <w:rsid w:val="007C54CD"/>
    <w:rsid w:val="007D4586"/>
    <w:rsid w:val="007D47A5"/>
    <w:rsid w:val="007D4B03"/>
    <w:rsid w:val="007D7FA1"/>
    <w:rsid w:val="007E172A"/>
    <w:rsid w:val="007E4B10"/>
    <w:rsid w:val="007E5FCE"/>
    <w:rsid w:val="007E6E43"/>
    <w:rsid w:val="007E748F"/>
    <w:rsid w:val="007F2BA7"/>
    <w:rsid w:val="007F694F"/>
    <w:rsid w:val="007F7890"/>
    <w:rsid w:val="00803201"/>
    <w:rsid w:val="008076D0"/>
    <w:rsid w:val="00814783"/>
    <w:rsid w:val="00817A8D"/>
    <w:rsid w:val="00820FB0"/>
    <w:rsid w:val="00830A6F"/>
    <w:rsid w:val="00833DF3"/>
    <w:rsid w:val="00835420"/>
    <w:rsid w:val="00847DAF"/>
    <w:rsid w:val="00856551"/>
    <w:rsid w:val="008574CC"/>
    <w:rsid w:val="00863738"/>
    <w:rsid w:val="00863F88"/>
    <w:rsid w:val="00864AB0"/>
    <w:rsid w:val="0086741B"/>
    <w:rsid w:val="00867D88"/>
    <w:rsid w:val="00867E43"/>
    <w:rsid w:val="00870405"/>
    <w:rsid w:val="008732C4"/>
    <w:rsid w:val="008732EF"/>
    <w:rsid w:val="00881CFD"/>
    <w:rsid w:val="00883D34"/>
    <w:rsid w:val="00883EB0"/>
    <w:rsid w:val="00885C38"/>
    <w:rsid w:val="00890501"/>
    <w:rsid w:val="0089172B"/>
    <w:rsid w:val="008931EC"/>
    <w:rsid w:val="008A0FEF"/>
    <w:rsid w:val="008A535C"/>
    <w:rsid w:val="008A6995"/>
    <w:rsid w:val="008A7416"/>
    <w:rsid w:val="008A7951"/>
    <w:rsid w:val="008B2D6C"/>
    <w:rsid w:val="008B5460"/>
    <w:rsid w:val="008B710E"/>
    <w:rsid w:val="008B755C"/>
    <w:rsid w:val="008C161B"/>
    <w:rsid w:val="008C1825"/>
    <w:rsid w:val="008C1DA6"/>
    <w:rsid w:val="008C3A01"/>
    <w:rsid w:val="008C7F3F"/>
    <w:rsid w:val="008D12B3"/>
    <w:rsid w:val="008D1785"/>
    <w:rsid w:val="008D32C8"/>
    <w:rsid w:val="008D344E"/>
    <w:rsid w:val="008D6E2E"/>
    <w:rsid w:val="008E246D"/>
    <w:rsid w:val="008F2CF3"/>
    <w:rsid w:val="008F49E9"/>
    <w:rsid w:val="009037DB"/>
    <w:rsid w:val="00904D53"/>
    <w:rsid w:val="00904E88"/>
    <w:rsid w:val="00913E34"/>
    <w:rsid w:val="00914B26"/>
    <w:rsid w:val="00915B6B"/>
    <w:rsid w:val="00925D8E"/>
    <w:rsid w:val="00926FFB"/>
    <w:rsid w:val="009273DC"/>
    <w:rsid w:val="00930463"/>
    <w:rsid w:val="0093236E"/>
    <w:rsid w:val="0093310D"/>
    <w:rsid w:val="00935BEC"/>
    <w:rsid w:val="0093623D"/>
    <w:rsid w:val="00944C68"/>
    <w:rsid w:val="009464DA"/>
    <w:rsid w:val="00950D90"/>
    <w:rsid w:val="00951916"/>
    <w:rsid w:val="00955856"/>
    <w:rsid w:val="00960ED1"/>
    <w:rsid w:val="0096152F"/>
    <w:rsid w:val="00965BFD"/>
    <w:rsid w:val="00967151"/>
    <w:rsid w:val="009758D2"/>
    <w:rsid w:val="00980F35"/>
    <w:rsid w:val="00981429"/>
    <w:rsid w:val="00982D9C"/>
    <w:rsid w:val="00984061"/>
    <w:rsid w:val="00984D06"/>
    <w:rsid w:val="00986FFE"/>
    <w:rsid w:val="00994811"/>
    <w:rsid w:val="009A27BE"/>
    <w:rsid w:val="009B135D"/>
    <w:rsid w:val="009C44BE"/>
    <w:rsid w:val="009D10F3"/>
    <w:rsid w:val="009D4BA2"/>
    <w:rsid w:val="009D5BB8"/>
    <w:rsid w:val="009D7005"/>
    <w:rsid w:val="009E14C6"/>
    <w:rsid w:val="009E5FA1"/>
    <w:rsid w:val="009F24ED"/>
    <w:rsid w:val="009F296F"/>
    <w:rsid w:val="009F33B5"/>
    <w:rsid w:val="009F3F93"/>
    <w:rsid w:val="009F4F5B"/>
    <w:rsid w:val="00A00F65"/>
    <w:rsid w:val="00A02B28"/>
    <w:rsid w:val="00A03512"/>
    <w:rsid w:val="00A0496D"/>
    <w:rsid w:val="00A05577"/>
    <w:rsid w:val="00A071DB"/>
    <w:rsid w:val="00A07CCB"/>
    <w:rsid w:val="00A12367"/>
    <w:rsid w:val="00A16339"/>
    <w:rsid w:val="00A227D4"/>
    <w:rsid w:val="00A2322F"/>
    <w:rsid w:val="00A241C2"/>
    <w:rsid w:val="00A30D17"/>
    <w:rsid w:val="00A31F02"/>
    <w:rsid w:val="00A40DCF"/>
    <w:rsid w:val="00A43971"/>
    <w:rsid w:val="00A45E53"/>
    <w:rsid w:val="00A476D8"/>
    <w:rsid w:val="00A47786"/>
    <w:rsid w:val="00A5110E"/>
    <w:rsid w:val="00A54EE1"/>
    <w:rsid w:val="00A63BA0"/>
    <w:rsid w:val="00A66981"/>
    <w:rsid w:val="00A70C86"/>
    <w:rsid w:val="00A73FDA"/>
    <w:rsid w:val="00A76BFF"/>
    <w:rsid w:val="00A840C0"/>
    <w:rsid w:val="00A863D4"/>
    <w:rsid w:val="00A9558E"/>
    <w:rsid w:val="00AB0C59"/>
    <w:rsid w:val="00AB1E1F"/>
    <w:rsid w:val="00AB3EF4"/>
    <w:rsid w:val="00AB500B"/>
    <w:rsid w:val="00AB5BC8"/>
    <w:rsid w:val="00AC1E78"/>
    <w:rsid w:val="00AC3FC5"/>
    <w:rsid w:val="00AC5B01"/>
    <w:rsid w:val="00AD06B7"/>
    <w:rsid w:val="00AD1E96"/>
    <w:rsid w:val="00AD4C79"/>
    <w:rsid w:val="00AD510B"/>
    <w:rsid w:val="00AD6F19"/>
    <w:rsid w:val="00AE562C"/>
    <w:rsid w:val="00AF01D0"/>
    <w:rsid w:val="00AF40D2"/>
    <w:rsid w:val="00AF6C2F"/>
    <w:rsid w:val="00B0121C"/>
    <w:rsid w:val="00B06CA9"/>
    <w:rsid w:val="00B07087"/>
    <w:rsid w:val="00B10486"/>
    <w:rsid w:val="00B106E8"/>
    <w:rsid w:val="00B107D1"/>
    <w:rsid w:val="00B14F90"/>
    <w:rsid w:val="00B156B7"/>
    <w:rsid w:val="00B2021E"/>
    <w:rsid w:val="00B31A89"/>
    <w:rsid w:val="00B32803"/>
    <w:rsid w:val="00B33B2F"/>
    <w:rsid w:val="00B34180"/>
    <w:rsid w:val="00B35737"/>
    <w:rsid w:val="00B36487"/>
    <w:rsid w:val="00B3772F"/>
    <w:rsid w:val="00B42B28"/>
    <w:rsid w:val="00B44963"/>
    <w:rsid w:val="00B45389"/>
    <w:rsid w:val="00B47B26"/>
    <w:rsid w:val="00B53F3D"/>
    <w:rsid w:val="00B540A6"/>
    <w:rsid w:val="00B54147"/>
    <w:rsid w:val="00B61434"/>
    <w:rsid w:val="00B631EA"/>
    <w:rsid w:val="00B6485E"/>
    <w:rsid w:val="00B701CF"/>
    <w:rsid w:val="00B77304"/>
    <w:rsid w:val="00B83DA1"/>
    <w:rsid w:val="00B86847"/>
    <w:rsid w:val="00B901E5"/>
    <w:rsid w:val="00B93368"/>
    <w:rsid w:val="00B95362"/>
    <w:rsid w:val="00BA16BB"/>
    <w:rsid w:val="00BA595E"/>
    <w:rsid w:val="00BB053E"/>
    <w:rsid w:val="00BB2261"/>
    <w:rsid w:val="00BB3383"/>
    <w:rsid w:val="00BB7276"/>
    <w:rsid w:val="00BC1C89"/>
    <w:rsid w:val="00BC4495"/>
    <w:rsid w:val="00BC78D3"/>
    <w:rsid w:val="00BD16E7"/>
    <w:rsid w:val="00BD26D1"/>
    <w:rsid w:val="00BD4DDB"/>
    <w:rsid w:val="00BD55A3"/>
    <w:rsid w:val="00BD6B93"/>
    <w:rsid w:val="00BF10FA"/>
    <w:rsid w:val="00BF1E48"/>
    <w:rsid w:val="00C0086C"/>
    <w:rsid w:val="00C0194B"/>
    <w:rsid w:val="00C01FB0"/>
    <w:rsid w:val="00C035E6"/>
    <w:rsid w:val="00C03EA6"/>
    <w:rsid w:val="00C06673"/>
    <w:rsid w:val="00C07575"/>
    <w:rsid w:val="00C11858"/>
    <w:rsid w:val="00C12F5A"/>
    <w:rsid w:val="00C166F2"/>
    <w:rsid w:val="00C210F2"/>
    <w:rsid w:val="00C245DD"/>
    <w:rsid w:val="00C26616"/>
    <w:rsid w:val="00C311B7"/>
    <w:rsid w:val="00C31D0F"/>
    <w:rsid w:val="00C32696"/>
    <w:rsid w:val="00C327B3"/>
    <w:rsid w:val="00C33429"/>
    <w:rsid w:val="00C351BD"/>
    <w:rsid w:val="00C35F6E"/>
    <w:rsid w:val="00C37A53"/>
    <w:rsid w:val="00C44D10"/>
    <w:rsid w:val="00C45D5F"/>
    <w:rsid w:val="00C46031"/>
    <w:rsid w:val="00C46619"/>
    <w:rsid w:val="00C4712C"/>
    <w:rsid w:val="00C47204"/>
    <w:rsid w:val="00C64105"/>
    <w:rsid w:val="00C6569D"/>
    <w:rsid w:val="00C66E03"/>
    <w:rsid w:val="00C67D54"/>
    <w:rsid w:val="00C72B31"/>
    <w:rsid w:val="00C7540E"/>
    <w:rsid w:val="00C7650A"/>
    <w:rsid w:val="00C7686F"/>
    <w:rsid w:val="00C77BDB"/>
    <w:rsid w:val="00C80E76"/>
    <w:rsid w:val="00C84B16"/>
    <w:rsid w:val="00C9257F"/>
    <w:rsid w:val="00C93F32"/>
    <w:rsid w:val="00CA24F0"/>
    <w:rsid w:val="00CA2D75"/>
    <w:rsid w:val="00CA3150"/>
    <w:rsid w:val="00CA390F"/>
    <w:rsid w:val="00CA5E7F"/>
    <w:rsid w:val="00CA6A37"/>
    <w:rsid w:val="00CB0043"/>
    <w:rsid w:val="00CB0AF0"/>
    <w:rsid w:val="00CB1768"/>
    <w:rsid w:val="00CB4AD1"/>
    <w:rsid w:val="00CB6BA1"/>
    <w:rsid w:val="00CB7D31"/>
    <w:rsid w:val="00CC21BF"/>
    <w:rsid w:val="00CD0A8D"/>
    <w:rsid w:val="00CD44F6"/>
    <w:rsid w:val="00CD468C"/>
    <w:rsid w:val="00CD49A6"/>
    <w:rsid w:val="00CD642F"/>
    <w:rsid w:val="00CE3D3B"/>
    <w:rsid w:val="00CE7B7B"/>
    <w:rsid w:val="00CF30E0"/>
    <w:rsid w:val="00CF3788"/>
    <w:rsid w:val="00CF538A"/>
    <w:rsid w:val="00CF7E39"/>
    <w:rsid w:val="00D008DB"/>
    <w:rsid w:val="00D0174F"/>
    <w:rsid w:val="00D030E7"/>
    <w:rsid w:val="00D03DC8"/>
    <w:rsid w:val="00D1717D"/>
    <w:rsid w:val="00D172F9"/>
    <w:rsid w:val="00D17B71"/>
    <w:rsid w:val="00D17CF9"/>
    <w:rsid w:val="00D200D6"/>
    <w:rsid w:val="00D22DF0"/>
    <w:rsid w:val="00D24110"/>
    <w:rsid w:val="00D30306"/>
    <w:rsid w:val="00D31187"/>
    <w:rsid w:val="00D318D8"/>
    <w:rsid w:val="00D34A97"/>
    <w:rsid w:val="00D35547"/>
    <w:rsid w:val="00D45A5A"/>
    <w:rsid w:val="00D473FA"/>
    <w:rsid w:val="00D5342F"/>
    <w:rsid w:val="00D54703"/>
    <w:rsid w:val="00D54C3D"/>
    <w:rsid w:val="00D5673F"/>
    <w:rsid w:val="00D603EA"/>
    <w:rsid w:val="00D605B1"/>
    <w:rsid w:val="00D6128C"/>
    <w:rsid w:val="00D62385"/>
    <w:rsid w:val="00D65E40"/>
    <w:rsid w:val="00D71616"/>
    <w:rsid w:val="00D71C8A"/>
    <w:rsid w:val="00D723BD"/>
    <w:rsid w:val="00D763D7"/>
    <w:rsid w:val="00D76B84"/>
    <w:rsid w:val="00D81CD5"/>
    <w:rsid w:val="00D82F00"/>
    <w:rsid w:val="00D83E64"/>
    <w:rsid w:val="00D904C1"/>
    <w:rsid w:val="00D90D3D"/>
    <w:rsid w:val="00D958DD"/>
    <w:rsid w:val="00D9685F"/>
    <w:rsid w:val="00DA1376"/>
    <w:rsid w:val="00DA65BE"/>
    <w:rsid w:val="00DA697C"/>
    <w:rsid w:val="00DB148B"/>
    <w:rsid w:val="00DB3D0F"/>
    <w:rsid w:val="00DB3D91"/>
    <w:rsid w:val="00DB4BDC"/>
    <w:rsid w:val="00DB5C76"/>
    <w:rsid w:val="00DB62C2"/>
    <w:rsid w:val="00DB7AD5"/>
    <w:rsid w:val="00DC249C"/>
    <w:rsid w:val="00DC4CE5"/>
    <w:rsid w:val="00DD1854"/>
    <w:rsid w:val="00DD3E54"/>
    <w:rsid w:val="00DD620F"/>
    <w:rsid w:val="00DD6413"/>
    <w:rsid w:val="00DE1686"/>
    <w:rsid w:val="00DE46C6"/>
    <w:rsid w:val="00DF50EE"/>
    <w:rsid w:val="00E00C06"/>
    <w:rsid w:val="00E022C0"/>
    <w:rsid w:val="00E04E50"/>
    <w:rsid w:val="00E11F48"/>
    <w:rsid w:val="00E139B8"/>
    <w:rsid w:val="00E13E95"/>
    <w:rsid w:val="00E15E43"/>
    <w:rsid w:val="00E16155"/>
    <w:rsid w:val="00E2108C"/>
    <w:rsid w:val="00E2280C"/>
    <w:rsid w:val="00E311DB"/>
    <w:rsid w:val="00E37024"/>
    <w:rsid w:val="00E37AA9"/>
    <w:rsid w:val="00E45E10"/>
    <w:rsid w:val="00E46CBE"/>
    <w:rsid w:val="00E46DB4"/>
    <w:rsid w:val="00E47B0D"/>
    <w:rsid w:val="00E47E17"/>
    <w:rsid w:val="00E5256E"/>
    <w:rsid w:val="00E655A7"/>
    <w:rsid w:val="00E65EC4"/>
    <w:rsid w:val="00E7183E"/>
    <w:rsid w:val="00E72A70"/>
    <w:rsid w:val="00E73122"/>
    <w:rsid w:val="00E7733E"/>
    <w:rsid w:val="00E82F70"/>
    <w:rsid w:val="00E84F3B"/>
    <w:rsid w:val="00E85A71"/>
    <w:rsid w:val="00E878D5"/>
    <w:rsid w:val="00E90F29"/>
    <w:rsid w:val="00E92845"/>
    <w:rsid w:val="00E967E1"/>
    <w:rsid w:val="00E96ABB"/>
    <w:rsid w:val="00EA1911"/>
    <w:rsid w:val="00EA205E"/>
    <w:rsid w:val="00EA2446"/>
    <w:rsid w:val="00EA3EAF"/>
    <w:rsid w:val="00EA4925"/>
    <w:rsid w:val="00EA7A55"/>
    <w:rsid w:val="00EB0794"/>
    <w:rsid w:val="00EB5BB0"/>
    <w:rsid w:val="00EB7D27"/>
    <w:rsid w:val="00EC0703"/>
    <w:rsid w:val="00EC185D"/>
    <w:rsid w:val="00EC2CAF"/>
    <w:rsid w:val="00EC3053"/>
    <w:rsid w:val="00EC6FE5"/>
    <w:rsid w:val="00ED2928"/>
    <w:rsid w:val="00ED3FAC"/>
    <w:rsid w:val="00ED6E18"/>
    <w:rsid w:val="00EE3C0A"/>
    <w:rsid w:val="00EE4449"/>
    <w:rsid w:val="00EE5932"/>
    <w:rsid w:val="00EF23C8"/>
    <w:rsid w:val="00EF3026"/>
    <w:rsid w:val="00EF3D4A"/>
    <w:rsid w:val="00EF6C3D"/>
    <w:rsid w:val="00F019DC"/>
    <w:rsid w:val="00F03B15"/>
    <w:rsid w:val="00F03D7F"/>
    <w:rsid w:val="00F04BE9"/>
    <w:rsid w:val="00F12E05"/>
    <w:rsid w:val="00F1335F"/>
    <w:rsid w:val="00F14AC5"/>
    <w:rsid w:val="00F160D4"/>
    <w:rsid w:val="00F17407"/>
    <w:rsid w:val="00F22406"/>
    <w:rsid w:val="00F253D0"/>
    <w:rsid w:val="00F267B4"/>
    <w:rsid w:val="00F30BEE"/>
    <w:rsid w:val="00F32419"/>
    <w:rsid w:val="00F3554B"/>
    <w:rsid w:val="00F3735C"/>
    <w:rsid w:val="00F42FE0"/>
    <w:rsid w:val="00F431DE"/>
    <w:rsid w:val="00F46223"/>
    <w:rsid w:val="00F478C3"/>
    <w:rsid w:val="00F515C8"/>
    <w:rsid w:val="00F541DA"/>
    <w:rsid w:val="00F549B4"/>
    <w:rsid w:val="00F6079D"/>
    <w:rsid w:val="00F61C3D"/>
    <w:rsid w:val="00F64C72"/>
    <w:rsid w:val="00F67F3A"/>
    <w:rsid w:val="00F7102B"/>
    <w:rsid w:val="00F71527"/>
    <w:rsid w:val="00F71ADE"/>
    <w:rsid w:val="00F74330"/>
    <w:rsid w:val="00F754F3"/>
    <w:rsid w:val="00F80001"/>
    <w:rsid w:val="00F81BDE"/>
    <w:rsid w:val="00F82DCB"/>
    <w:rsid w:val="00F868D9"/>
    <w:rsid w:val="00F86B5D"/>
    <w:rsid w:val="00F86BBF"/>
    <w:rsid w:val="00F9406E"/>
    <w:rsid w:val="00FA1EC9"/>
    <w:rsid w:val="00FA2501"/>
    <w:rsid w:val="00FA3052"/>
    <w:rsid w:val="00FA3382"/>
    <w:rsid w:val="00FA5A7A"/>
    <w:rsid w:val="00FB24B4"/>
    <w:rsid w:val="00FB7270"/>
    <w:rsid w:val="00FC0C9B"/>
    <w:rsid w:val="00FC2A56"/>
    <w:rsid w:val="00FC3EC2"/>
    <w:rsid w:val="00FD349B"/>
    <w:rsid w:val="00FE2870"/>
    <w:rsid w:val="00FF144E"/>
    <w:rsid w:val="00FF1625"/>
    <w:rsid w:val="00FF1998"/>
    <w:rsid w:val="00FF2840"/>
    <w:rsid w:val="00FF60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578D0"/>
  <w14:defaultImageDpi w14:val="300"/>
  <w15:docId w15:val="{381FF8EC-935A-144D-8218-646557E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81CFD"/>
    <w:rPr>
      <w:rFonts w:ascii="Times New Roman" w:eastAsia="Times New Roman" w:hAnsi="Times New Roman" w:cs="Times New Roman"/>
    </w:rPr>
  </w:style>
  <w:style w:type="paragraph" w:styleId="Heading1">
    <w:name w:val="heading 1"/>
    <w:basedOn w:val="ListParagraph"/>
    <w:next w:val="Normal"/>
    <w:link w:val="Heading1Char"/>
    <w:uiPriority w:val="9"/>
    <w:qFormat/>
    <w:rsid w:val="008B2D6C"/>
    <w:pPr>
      <w:numPr>
        <w:numId w:val="24"/>
      </w:numPr>
      <w:spacing w:line="360" w:lineRule="auto"/>
      <w:jc w:val="both"/>
      <w:outlineLvl w:val="0"/>
    </w:pPr>
    <w:rPr>
      <w:rFonts w:ascii="Arial" w:hAnsi="Arial" w:cs="Arial"/>
      <w:b/>
      <w:sz w:val="22"/>
      <w:szCs w:val="22"/>
      <w:lang w:val="en-GB"/>
    </w:rPr>
  </w:style>
  <w:style w:type="paragraph" w:styleId="Heading2">
    <w:name w:val="heading 2"/>
    <w:basedOn w:val="Normal"/>
    <w:next w:val="Normal"/>
    <w:link w:val="Heading2Char"/>
    <w:uiPriority w:val="9"/>
    <w:unhideWhenUsed/>
    <w:qFormat/>
    <w:rsid w:val="008B2D6C"/>
    <w:pPr>
      <w:spacing w:line="360" w:lineRule="auto"/>
      <w:jc w:val="both"/>
      <w:outlineLvl w:val="1"/>
    </w:pPr>
    <w:rPr>
      <w:rFonts w:ascii="Arial" w:hAnsi="Arial" w:cs="Arial"/>
      <w:b/>
      <w:color w:val="4F81BD" w:themeColor="accent1"/>
      <w:sz w:val="22"/>
      <w:szCs w:val="22"/>
      <w:lang w:val="en-GB" w:eastAsia="en-GB"/>
    </w:rPr>
  </w:style>
  <w:style w:type="paragraph" w:styleId="Heading3">
    <w:name w:val="heading 3"/>
    <w:basedOn w:val="Normal"/>
    <w:next w:val="Normal"/>
    <w:link w:val="Heading3Char"/>
    <w:uiPriority w:val="9"/>
    <w:unhideWhenUsed/>
    <w:qFormat/>
    <w:rsid w:val="008B2D6C"/>
    <w:pPr>
      <w:spacing w:line="360" w:lineRule="auto"/>
      <w:jc w:val="both"/>
      <w:outlineLvl w:val="2"/>
    </w:pPr>
    <w:rPr>
      <w:rFonts w:ascii="Arial" w:hAnsi="Arial" w:cs="Arial"/>
      <w:b/>
      <w:sz w:val="22"/>
      <w:szCs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7E17"/>
    <w:pPr>
      <w:ind w:left="720"/>
      <w:contextualSpacing/>
    </w:pPr>
  </w:style>
  <w:style w:type="paragraph" w:styleId="BalloonText">
    <w:name w:val="Balloon Text"/>
    <w:basedOn w:val="Normal"/>
    <w:link w:val="BalloonTextChar"/>
    <w:uiPriority w:val="99"/>
    <w:semiHidden/>
    <w:unhideWhenUsed/>
    <w:rsid w:val="0000392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003923"/>
    <w:rPr>
      <w:rFonts w:ascii="Lucida Grande" w:hAnsi="Lucida Grande" w:cs="Lucida Grande"/>
      <w:sz w:val="18"/>
      <w:szCs w:val="18"/>
    </w:rPr>
  </w:style>
  <w:style w:type="character" w:styleId="Hyperlink">
    <w:name w:val="Hyperlink"/>
    <w:basedOn w:val="DefaultParagraphFont"/>
    <w:uiPriority w:val="99"/>
    <w:unhideWhenUsed/>
    <w:rsid w:val="00640E5A"/>
    <w:rPr>
      <w:color w:val="0000FF"/>
      <w:u w:val="single"/>
    </w:rPr>
  </w:style>
  <w:style w:type="paragraph" w:customStyle="1" w:styleId="Standard">
    <w:name w:val="Standard"/>
    <w:rsid w:val="00BD4DDB"/>
    <w:pPr>
      <w:suppressAutoHyphens/>
      <w:autoSpaceDN w:val="0"/>
      <w:textAlignment w:val="baseline"/>
    </w:pPr>
    <w:rPr>
      <w:rFonts w:ascii="Times New Roman" w:eastAsia="Times New Roman" w:hAnsi="Times New Roman" w:cs="Times New Roman"/>
      <w:kern w:val="3"/>
    </w:rPr>
  </w:style>
  <w:style w:type="numbering" w:customStyle="1" w:styleId="WWNum1">
    <w:name w:val="WWNum1"/>
    <w:basedOn w:val="NoList"/>
    <w:rsid w:val="00BD4DDB"/>
    <w:pPr>
      <w:numPr>
        <w:numId w:val="1"/>
      </w:numPr>
    </w:pPr>
  </w:style>
  <w:style w:type="paragraph" w:styleId="FootnoteText">
    <w:name w:val="footnote text"/>
    <w:basedOn w:val="Normal"/>
    <w:link w:val="FootnoteTextChar"/>
    <w:uiPriority w:val="99"/>
    <w:unhideWhenUsed/>
    <w:rsid w:val="00F86BBF"/>
  </w:style>
  <w:style w:type="character" w:customStyle="1" w:styleId="FootnoteTextChar">
    <w:name w:val="Footnote Text Char"/>
    <w:basedOn w:val="DefaultParagraphFont"/>
    <w:link w:val="FootnoteText"/>
    <w:uiPriority w:val="99"/>
    <w:rsid w:val="00F86BBF"/>
  </w:style>
  <w:style w:type="character" w:styleId="FootnoteReference">
    <w:name w:val="footnote reference"/>
    <w:basedOn w:val="DefaultParagraphFont"/>
    <w:uiPriority w:val="99"/>
    <w:unhideWhenUsed/>
    <w:rsid w:val="00F86BBF"/>
    <w:rPr>
      <w:vertAlign w:val="superscript"/>
    </w:rPr>
  </w:style>
  <w:style w:type="paragraph" w:customStyle="1" w:styleId="Default">
    <w:name w:val="Default"/>
    <w:rsid w:val="00AC1E78"/>
    <w:pPr>
      <w:autoSpaceDE w:val="0"/>
      <w:autoSpaceDN w:val="0"/>
      <w:adjustRightInd w:val="0"/>
    </w:pPr>
    <w:rPr>
      <w:rFonts w:ascii="Arial" w:eastAsia="Times New Roman" w:hAnsi="Arial" w:cs="Arial"/>
      <w:color w:val="000000"/>
      <w:lang w:val="en-GB"/>
    </w:rPr>
  </w:style>
  <w:style w:type="paragraph" w:customStyle="1" w:styleId="ColorfulShading-Accent31">
    <w:name w:val="Colorful Shading - Accent 31"/>
    <w:basedOn w:val="Normal"/>
    <w:uiPriority w:val="34"/>
    <w:qFormat/>
    <w:rsid w:val="00984061"/>
    <w:pPr>
      <w:ind w:left="720"/>
    </w:pPr>
  </w:style>
  <w:style w:type="paragraph" w:customStyle="1" w:styleId="ColorfulList-Accent11">
    <w:name w:val="Colorful List - Accent 11"/>
    <w:basedOn w:val="Normal"/>
    <w:qFormat/>
    <w:rsid w:val="00BA595E"/>
    <w:pPr>
      <w:ind w:left="720"/>
      <w:contextualSpacing/>
    </w:pPr>
  </w:style>
  <w:style w:type="character" w:customStyle="1" w:styleId="sb8d990e2">
    <w:name w:val="sb8d990e2"/>
    <w:rsid w:val="003F68A4"/>
  </w:style>
  <w:style w:type="paragraph" w:customStyle="1" w:styleId="JuPara">
    <w:name w:val="Ju_Para"/>
    <w:aliases w:val="Left,First line:  0 cm"/>
    <w:basedOn w:val="Normal"/>
    <w:link w:val="JuParaCar"/>
    <w:rsid w:val="00D76B84"/>
    <w:pPr>
      <w:suppressAutoHyphens/>
      <w:ind w:firstLine="284"/>
      <w:jc w:val="both"/>
    </w:pPr>
    <w:rPr>
      <w:szCs w:val="20"/>
      <w:lang w:val="en-GB" w:eastAsia="fr-FR"/>
    </w:rPr>
  </w:style>
  <w:style w:type="character" w:customStyle="1" w:styleId="JuParaCar">
    <w:name w:val="Ju_Para Car"/>
    <w:basedOn w:val="DefaultParagraphFont"/>
    <w:link w:val="JuPara"/>
    <w:locked/>
    <w:rsid w:val="00D76B84"/>
    <w:rPr>
      <w:rFonts w:ascii="Times New Roman" w:eastAsia="Times New Roman" w:hAnsi="Times New Roman" w:cs="Times New Roman"/>
      <w:szCs w:val="20"/>
      <w:lang w:val="en-GB" w:eastAsia="fr-FR"/>
    </w:rPr>
  </w:style>
  <w:style w:type="paragraph" w:styleId="Header">
    <w:name w:val="header"/>
    <w:basedOn w:val="Normal"/>
    <w:link w:val="HeaderChar"/>
    <w:uiPriority w:val="99"/>
    <w:unhideWhenUsed/>
    <w:rsid w:val="0051067C"/>
    <w:pPr>
      <w:tabs>
        <w:tab w:val="center" w:pos="4320"/>
        <w:tab w:val="right" w:pos="8640"/>
      </w:tabs>
    </w:pPr>
  </w:style>
  <w:style w:type="character" w:customStyle="1" w:styleId="HeaderChar">
    <w:name w:val="Header Char"/>
    <w:basedOn w:val="DefaultParagraphFont"/>
    <w:link w:val="Header"/>
    <w:uiPriority w:val="99"/>
    <w:rsid w:val="0051067C"/>
  </w:style>
  <w:style w:type="paragraph" w:styleId="Footer">
    <w:name w:val="footer"/>
    <w:basedOn w:val="Normal"/>
    <w:link w:val="FooterChar"/>
    <w:unhideWhenUsed/>
    <w:rsid w:val="0051067C"/>
    <w:pPr>
      <w:tabs>
        <w:tab w:val="center" w:pos="4320"/>
        <w:tab w:val="right" w:pos="8640"/>
      </w:tabs>
    </w:pPr>
  </w:style>
  <w:style w:type="character" w:customStyle="1" w:styleId="FooterChar">
    <w:name w:val="Footer Char"/>
    <w:basedOn w:val="DefaultParagraphFont"/>
    <w:link w:val="Footer"/>
    <w:rsid w:val="0051067C"/>
  </w:style>
  <w:style w:type="character" w:styleId="PageNumber">
    <w:name w:val="page number"/>
    <w:basedOn w:val="DefaultParagraphFont"/>
    <w:uiPriority w:val="99"/>
    <w:semiHidden/>
    <w:unhideWhenUsed/>
    <w:rsid w:val="000135BE"/>
  </w:style>
  <w:style w:type="paragraph" w:customStyle="1" w:styleId="m1017554203034269597msolistparagraph">
    <w:name w:val="m_1017554203034269597msolistparagraph"/>
    <w:basedOn w:val="Normal"/>
    <w:rsid w:val="003C4C65"/>
    <w:pPr>
      <w:spacing w:before="100" w:beforeAutospacing="1" w:after="100" w:afterAutospacing="1"/>
    </w:pPr>
    <w:rPr>
      <w:rFonts w:ascii="Times" w:hAnsi="Times"/>
      <w:sz w:val="20"/>
      <w:szCs w:val="20"/>
    </w:rPr>
  </w:style>
  <w:style w:type="character" w:customStyle="1" w:styleId="apple-converted-space">
    <w:name w:val="apple-converted-space"/>
    <w:basedOn w:val="DefaultParagraphFont"/>
    <w:rsid w:val="003C4C65"/>
  </w:style>
  <w:style w:type="character" w:customStyle="1" w:styleId="Heading1Char">
    <w:name w:val="Heading 1 Char"/>
    <w:basedOn w:val="DefaultParagraphFont"/>
    <w:link w:val="Heading1"/>
    <w:uiPriority w:val="9"/>
    <w:rsid w:val="008B2D6C"/>
    <w:rPr>
      <w:rFonts w:ascii="Arial" w:eastAsia="Times New Roman" w:hAnsi="Arial" w:cs="Arial"/>
      <w:b/>
      <w:sz w:val="22"/>
      <w:szCs w:val="22"/>
      <w:lang w:val="en-GB"/>
    </w:rPr>
  </w:style>
  <w:style w:type="paragraph" w:styleId="TOCHeading">
    <w:name w:val="TOC Heading"/>
    <w:basedOn w:val="Heading1"/>
    <w:next w:val="Normal"/>
    <w:uiPriority w:val="39"/>
    <w:unhideWhenUsed/>
    <w:qFormat/>
    <w:rsid w:val="00CF7E39"/>
    <w:pPr>
      <w:spacing w:line="276" w:lineRule="auto"/>
      <w:outlineLvl w:val="9"/>
    </w:pPr>
    <w:rPr>
      <w:color w:val="365F91" w:themeColor="accent1" w:themeShade="BF"/>
      <w:lang w:eastAsia="ja-JP"/>
    </w:rPr>
  </w:style>
  <w:style w:type="paragraph" w:styleId="TOC1">
    <w:name w:val="toc 1"/>
    <w:basedOn w:val="Normal"/>
    <w:next w:val="Normal"/>
    <w:autoRedefine/>
    <w:uiPriority w:val="39"/>
    <w:unhideWhenUsed/>
    <w:rsid w:val="00C03EA6"/>
    <w:pPr>
      <w:tabs>
        <w:tab w:val="left" w:pos="440"/>
        <w:tab w:val="right" w:leader="dot" w:pos="8290"/>
      </w:tabs>
      <w:spacing w:after="100"/>
    </w:pPr>
  </w:style>
  <w:style w:type="character" w:styleId="CommentReference">
    <w:name w:val="annotation reference"/>
    <w:basedOn w:val="DefaultParagraphFont"/>
    <w:uiPriority w:val="99"/>
    <w:semiHidden/>
    <w:unhideWhenUsed/>
    <w:rsid w:val="008E246D"/>
    <w:rPr>
      <w:sz w:val="16"/>
      <w:szCs w:val="16"/>
    </w:rPr>
  </w:style>
  <w:style w:type="paragraph" w:styleId="CommentText">
    <w:name w:val="annotation text"/>
    <w:basedOn w:val="Normal"/>
    <w:link w:val="CommentTextChar"/>
    <w:uiPriority w:val="99"/>
    <w:semiHidden/>
    <w:unhideWhenUsed/>
    <w:rsid w:val="008E246D"/>
    <w:rPr>
      <w:sz w:val="20"/>
      <w:szCs w:val="20"/>
    </w:rPr>
  </w:style>
  <w:style w:type="character" w:customStyle="1" w:styleId="CommentTextChar">
    <w:name w:val="Comment Text Char"/>
    <w:basedOn w:val="DefaultParagraphFont"/>
    <w:link w:val="CommentText"/>
    <w:uiPriority w:val="99"/>
    <w:semiHidden/>
    <w:rsid w:val="008E246D"/>
    <w:rPr>
      <w:sz w:val="20"/>
      <w:szCs w:val="20"/>
    </w:rPr>
  </w:style>
  <w:style w:type="paragraph" w:styleId="CommentSubject">
    <w:name w:val="annotation subject"/>
    <w:basedOn w:val="CommentText"/>
    <w:next w:val="CommentText"/>
    <w:link w:val="CommentSubjectChar"/>
    <w:uiPriority w:val="99"/>
    <w:semiHidden/>
    <w:unhideWhenUsed/>
    <w:rsid w:val="008E246D"/>
    <w:rPr>
      <w:b/>
      <w:bCs/>
    </w:rPr>
  </w:style>
  <w:style w:type="character" w:customStyle="1" w:styleId="CommentSubjectChar">
    <w:name w:val="Comment Subject Char"/>
    <w:basedOn w:val="CommentTextChar"/>
    <w:link w:val="CommentSubject"/>
    <w:uiPriority w:val="99"/>
    <w:semiHidden/>
    <w:rsid w:val="008E246D"/>
    <w:rPr>
      <w:b/>
      <w:bCs/>
      <w:sz w:val="20"/>
      <w:szCs w:val="20"/>
    </w:rPr>
  </w:style>
  <w:style w:type="character" w:customStyle="1" w:styleId="Heading2Char">
    <w:name w:val="Heading 2 Char"/>
    <w:basedOn w:val="DefaultParagraphFont"/>
    <w:link w:val="Heading2"/>
    <w:uiPriority w:val="9"/>
    <w:rsid w:val="008B2D6C"/>
    <w:rPr>
      <w:rFonts w:ascii="Arial" w:eastAsia="Times New Roman" w:hAnsi="Arial" w:cs="Arial"/>
      <w:b/>
      <w:color w:val="4F81BD" w:themeColor="accent1"/>
      <w:sz w:val="22"/>
      <w:szCs w:val="22"/>
      <w:lang w:val="en-GB" w:eastAsia="en-GB"/>
    </w:rPr>
  </w:style>
  <w:style w:type="paragraph" w:styleId="TOC2">
    <w:name w:val="toc 2"/>
    <w:basedOn w:val="Normal"/>
    <w:next w:val="Normal"/>
    <w:autoRedefine/>
    <w:uiPriority w:val="39"/>
    <w:unhideWhenUsed/>
    <w:rsid w:val="00C03EA6"/>
    <w:pPr>
      <w:spacing w:after="100"/>
      <w:ind w:left="240"/>
    </w:pPr>
  </w:style>
  <w:style w:type="paragraph" w:styleId="Revision">
    <w:name w:val="Revision"/>
    <w:hidden/>
    <w:uiPriority w:val="99"/>
    <w:semiHidden/>
    <w:rsid w:val="0004077D"/>
  </w:style>
  <w:style w:type="paragraph" w:styleId="NormalWeb">
    <w:name w:val="Normal (Web)"/>
    <w:basedOn w:val="Normal"/>
    <w:uiPriority w:val="99"/>
    <w:unhideWhenUsed/>
    <w:rsid w:val="00A476D8"/>
    <w:pPr>
      <w:spacing w:before="100" w:beforeAutospacing="1" w:after="100" w:afterAutospacing="1"/>
    </w:pPr>
  </w:style>
  <w:style w:type="character" w:styleId="UnresolvedMention">
    <w:name w:val="Unresolved Mention"/>
    <w:basedOn w:val="DefaultParagraphFont"/>
    <w:uiPriority w:val="99"/>
    <w:rsid w:val="00A03512"/>
    <w:rPr>
      <w:color w:val="808080"/>
      <w:shd w:val="clear" w:color="auto" w:fill="E6E6E6"/>
    </w:rPr>
  </w:style>
  <w:style w:type="character" w:customStyle="1" w:styleId="ju-005fpara-002cleft-002cfirst-0020line-003a-0020-00200-0020cm--char">
    <w:name w:val="ju-005fpara-002cleft-002cfirst-0020line-003a-0020-00200-0020cm--char"/>
    <w:basedOn w:val="DefaultParagraphFont"/>
    <w:rsid w:val="00FF144E"/>
  </w:style>
  <w:style w:type="character" w:styleId="Emphasis">
    <w:name w:val="Emphasis"/>
    <w:basedOn w:val="DefaultParagraphFont"/>
    <w:uiPriority w:val="20"/>
    <w:qFormat/>
    <w:rsid w:val="00143151"/>
    <w:rPr>
      <w:i/>
      <w:iCs/>
    </w:rPr>
  </w:style>
  <w:style w:type="character" w:customStyle="1" w:styleId="s6b621b36">
    <w:name w:val="s6b621b36"/>
    <w:basedOn w:val="DefaultParagraphFont"/>
    <w:rsid w:val="00AB0C59"/>
  </w:style>
  <w:style w:type="character" w:customStyle="1" w:styleId="wordhighlighted">
    <w:name w:val="wordhighlighted"/>
    <w:basedOn w:val="DefaultParagraphFont"/>
    <w:rsid w:val="00AB0C59"/>
  </w:style>
  <w:style w:type="character" w:customStyle="1" w:styleId="Heading3Char">
    <w:name w:val="Heading 3 Char"/>
    <w:basedOn w:val="DefaultParagraphFont"/>
    <w:link w:val="Heading3"/>
    <w:uiPriority w:val="9"/>
    <w:rsid w:val="008B2D6C"/>
    <w:rPr>
      <w:rFonts w:ascii="Arial" w:eastAsia="Times New Roman" w:hAnsi="Arial" w:cs="Arial"/>
      <w:b/>
      <w:sz w:val="22"/>
      <w:szCs w:val="22"/>
      <w:lang w:val="en-GB"/>
    </w:rPr>
  </w:style>
  <w:style w:type="paragraph" w:styleId="TOC3">
    <w:name w:val="toc 3"/>
    <w:basedOn w:val="Normal"/>
    <w:next w:val="Normal"/>
    <w:autoRedefine/>
    <w:uiPriority w:val="39"/>
    <w:unhideWhenUsed/>
    <w:rsid w:val="00F71527"/>
    <w:pPr>
      <w:spacing w:after="100"/>
      <w:ind w:left="480"/>
    </w:pPr>
  </w:style>
  <w:style w:type="character" w:styleId="FollowedHyperlink">
    <w:name w:val="FollowedHyperlink"/>
    <w:basedOn w:val="DefaultParagraphFont"/>
    <w:uiPriority w:val="99"/>
    <w:semiHidden/>
    <w:unhideWhenUsed/>
    <w:rsid w:val="00DC4C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109292">
      <w:bodyDiv w:val="1"/>
      <w:marLeft w:val="0"/>
      <w:marRight w:val="0"/>
      <w:marTop w:val="0"/>
      <w:marBottom w:val="0"/>
      <w:divBdr>
        <w:top w:val="none" w:sz="0" w:space="0" w:color="auto"/>
        <w:left w:val="none" w:sz="0" w:space="0" w:color="auto"/>
        <w:bottom w:val="none" w:sz="0" w:space="0" w:color="auto"/>
        <w:right w:val="none" w:sz="0" w:space="0" w:color="auto"/>
      </w:divBdr>
    </w:div>
    <w:div w:id="62652585">
      <w:bodyDiv w:val="1"/>
      <w:marLeft w:val="0"/>
      <w:marRight w:val="0"/>
      <w:marTop w:val="0"/>
      <w:marBottom w:val="0"/>
      <w:divBdr>
        <w:top w:val="none" w:sz="0" w:space="0" w:color="auto"/>
        <w:left w:val="none" w:sz="0" w:space="0" w:color="auto"/>
        <w:bottom w:val="none" w:sz="0" w:space="0" w:color="auto"/>
        <w:right w:val="none" w:sz="0" w:space="0" w:color="auto"/>
      </w:divBdr>
    </w:div>
    <w:div w:id="84349379">
      <w:bodyDiv w:val="1"/>
      <w:marLeft w:val="0"/>
      <w:marRight w:val="0"/>
      <w:marTop w:val="0"/>
      <w:marBottom w:val="0"/>
      <w:divBdr>
        <w:top w:val="none" w:sz="0" w:space="0" w:color="auto"/>
        <w:left w:val="none" w:sz="0" w:space="0" w:color="auto"/>
        <w:bottom w:val="none" w:sz="0" w:space="0" w:color="auto"/>
        <w:right w:val="none" w:sz="0" w:space="0" w:color="auto"/>
      </w:divBdr>
    </w:div>
    <w:div w:id="124205229">
      <w:bodyDiv w:val="1"/>
      <w:marLeft w:val="0"/>
      <w:marRight w:val="0"/>
      <w:marTop w:val="0"/>
      <w:marBottom w:val="0"/>
      <w:divBdr>
        <w:top w:val="none" w:sz="0" w:space="0" w:color="auto"/>
        <w:left w:val="none" w:sz="0" w:space="0" w:color="auto"/>
        <w:bottom w:val="none" w:sz="0" w:space="0" w:color="auto"/>
        <w:right w:val="none" w:sz="0" w:space="0" w:color="auto"/>
      </w:divBdr>
    </w:div>
    <w:div w:id="144931106">
      <w:bodyDiv w:val="1"/>
      <w:marLeft w:val="0"/>
      <w:marRight w:val="0"/>
      <w:marTop w:val="0"/>
      <w:marBottom w:val="0"/>
      <w:divBdr>
        <w:top w:val="none" w:sz="0" w:space="0" w:color="auto"/>
        <w:left w:val="none" w:sz="0" w:space="0" w:color="auto"/>
        <w:bottom w:val="none" w:sz="0" w:space="0" w:color="auto"/>
        <w:right w:val="none" w:sz="0" w:space="0" w:color="auto"/>
      </w:divBdr>
    </w:div>
    <w:div w:id="155072608">
      <w:bodyDiv w:val="1"/>
      <w:marLeft w:val="0"/>
      <w:marRight w:val="0"/>
      <w:marTop w:val="0"/>
      <w:marBottom w:val="0"/>
      <w:divBdr>
        <w:top w:val="none" w:sz="0" w:space="0" w:color="auto"/>
        <w:left w:val="none" w:sz="0" w:space="0" w:color="auto"/>
        <w:bottom w:val="none" w:sz="0" w:space="0" w:color="auto"/>
        <w:right w:val="none" w:sz="0" w:space="0" w:color="auto"/>
      </w:divBdr>
    </w:div>
    <w:div w:id="158011666">
      <w:bodyDiv w:val="1"/>
      <w:marLeft w:val="0"/>
      <w:marRight w:val="0"/>
      <w:marTop w:val="0"/>
      <w:marBottom w:val="0"/>
      <w:divBdr>
        <w:top w:val="none" w:sz="0" w:space="0" w:color="auto"/>
        <w:left w:val="none" w:sz="0" w:space="0" w:color="auto"/>
        <w:bottom w:val="none" w:sz="0" w:space="0" w:color="auto"/>
        <w:right w:val="none" w:sz="0" w:space="0" w:color="auto"/>
      </w:divBdr>
    </w:div>
    <w:div w:id="172115547">
      <w:bodyDiv w:val="1"/>
      <w:marLeft w:val="0"/>
      <w:marRight w:val="0"/>
      <w:marTop w:val="0"/>
      <w:marBottom w:val="0"/>
      <w:divBdr>
        <w:top w:val="none" w:sz="0" w:space="0" w:color="auto"/>
        <w:left w:val="none" w:sz="0" w:space="0" w:color="auto"/>
        <w:bottom w:val="none" w:sz="0" w:space="0" w:color="auto"/>
        <w:right w:val="none" w:sz="0" w:space="0" w:color="auto"/>
      </w:divBdr>
    </w:div>
    <w:div w:id="179318885">
      <w:bodyDiv w:val="1"/>
      <w:marLeft w:val="0"/>
      <w:marRight w:val="0"/>
      <w:marTop w:val="0"/>
      <w:marBottom w:val="0"/>
      <w:divBdr>
        <w:top w:val="none" w:sz="0" w:space="0" w:color="auto"/>
        <w:left w:val="none" w:sz="0" w:space="0" w:color="auto"/>
        <w:bottom w:val="none" w:sz="0" w:space="0" w:color="auto"/>
        <w:right w:val="none" w:sz="0" w:space="0" w:color="auto"/>
      </w:divBdr>
    </w:div>
    <w:div w:id="186263157">
      <w:bodyDiv w:val="1"/>
      <w:marLeft w:val="0"/>
      <w:marRight w:val="0"/>
      <w:marTop w:val="0"/>
      <w:marBottom w:val="0"/>
      <w:divBdr>
        <w:top w:val="none" w:sz="0" w:space="0" w:color="auto"/>
        <w:left w:val="none" w:sz="0" w:space="0" w:color="auto"/>
        <w:bottom w:val="none" w:sz="0" w:space="0" w:color="auto"/>
        <w:right w:val="none" w:sz="0" w:space="0" w:color="auto"/>
      </w:divBdr>
    </w:div>
    <w:div w:id="189883914">
      <w:bodyDiv w:val="1"/>
      <w:marLeft w:val="0"/>
      <w:marRight w:val="0"/>
      <w:marTop w:val="0"/>
      <w:marBottom w:val="0"/>
      <w:divBdr>
        <w:top w:val="none" w:sz="0" w:space="0" w:color="auto"/>
        <w:left w:val="none" w:sz="0" w:space="0" w:color="auto"/>
        <w:bottom w:val="none" w:sz="0" w:space="0" w:color="auto"/>
        <w:right w:val="none" w:sz="0" w:space="0" w:color="auto"/>
      </w:divBdr>
    </w:div>
    <w:div w:id="242036762">
      <w:bodyDiv w:val="1"/>
      <w:marLeft w:val="0"/>
      <w:marRight w:val="0"/>
      <w:marTop w:val="0"/>
      <w:marBottom w:val="0"/>
      <w:divBdr>
        <w:top w:val="none" w:sz="0" w:space="0" w:color="auto"/>
        <w:left w:val="none" w:sz="0" w:space="0" w:color="auto"/>
        <w:bottom w:val="none" w:sz="0" w:space="0" w:color="auto"/>
        <w:right w:val="none" w:sz="0" w:space="0" w:color="auto"/>
      </w:divBdr>
    </w:div>
    <w:div w:id="290984787">
      <w:bodyDiv w:val="1"/>
      <w:marLeft w:val="0"/>
      <w:marRight w:val="0"/>
      <w:marTop w:val="0"/>
      <w:marBottom w:val="0"/>
      <w:divBdr>
        <w:top w:val="none" w:sz="0" w:space="0" w:color="auto"/>
        <w:left w:val="none" w:sz="0" w:space="0" w:color="auto"/>
        <w:bottom w:val="none" w:sz="0" w:space="0" w:color="auto"/>
        <w:right w:val="none" w:sz="0" w:space="0" w:color="auto"/>
      </w:divBdr>
    </w:div>
    <w:div w:id="294529363">
      <w:bodyDiv w:val="1"/>
      <w:marLeft w:val="0"/>
      <w:marRight w:val="0"/>
      <w:marTop w:val="0"/>
      <w:marBottom w:val="0"/>
      <w:divBdr>
        <w:top w:val="none" w:sz="0" w:space="0" w:color="auto"/>
        <w:left w:val="none" w:sz="0" w:space="0" w:color="auto"/>
        <w:bottom w:val="none" w:sz="0" w:space="0" w:color="auto"/>
        <w:right w:val="none" w:sz="0" w:space="0" w:color="auto"/>
      </w:divBdr>
    </w:div>
    <w:div w:id="328214378">
      <w:bodyDiv w:val="1"/>
      <w:marLeft w:val="0"/>
      <w:marRight w:val="0"/>
      <w:marTop w:val="0"/>
      <w:marBottom w:val="0"/>
      <w:divBdr>
        <w:top w:val="none" w:sz="0" w:space="0" w:color="auto"/>
        <w:left w:val="none" w:sz="0" w:space="0" w:color="auto"/>
        <w:bottom w:val="none" w:sz="0" w:space="0" w:color="auto"/>
        <w:right w:val="none" w:sz="0" w:space="0" w:color="auto"/>
      </w:divBdr>
    </w:div>
    <w:div w:id="337924488">
      <w:bodyDiv w:val="1"/>
      <w:marLeft w:val="0"/>
      <w:marRight w:val="0"/>
      <w:marTop w:val="0"/>
      <w:marBottom w:val="0"/>
      <w:divBdr>
        <w:top w:val="none" w:sz="0" w:space="0" w:color="auto"/>
        <w:left w:val="none" w:sz="0" w:space="0" w:color="auto"/>
        <w:bottom w:val="none" w:sz="0" w:space="0" w:color="auto"/>
        <w:right w:val="none" w:sz="0" w:space="0" w:color="auto"/>
      </w:divBdr>
    </w:div>
    <w:div w:id="357196371">
      <w:bodyDiv w:val="1"/>
      <w:marLeft w:val="0"/>
      <w:marRight w:val="0"/>
      <w:marTop w:val="0"/>
      <w:marBottom w:val="0"/>
      <w:divBdr>
        <w:top w:val="none" w:sz="0" w:space="0" w:color="auto"/>
        <w:left w:val="none" w:sz="0" w:space="0" w:color="auto"/>
        <w:bottom w:val="none" w:sz="0" w:space="0" w:color="auto"/>
        <w:right w:val="none" w:sz="0" w:space="0" w:color="auto"/>
      </w:divBdr>
    </w:div>
    <w:div w:id="369040225">
      <w:bodyDiv w:val="1"/>
      <w:marLeft w:val="0"/>
      <w:marRight w:val="0"/>
      <w:marTop w:val="0"/>
      <w:marBottom w:val="0"/>
      <w:divBdr>
        <w:top w:val="none" w:sz="0" w:space="0" w:color="auto"/>
        <w:left w:val="none" w:sz="0" w:space="0" w:color="auto"/>
        <w:bottom w:val="none" w:sz="0" w:space="0" w:color="auto"/>
        <w:right w:val="none" w:sz="0" w:space="0" w:color="auto"/>
      </w:divBdr>
    </w:div>
    <w:div w:id="400370949">
      <w:bodyDiv w:val="1"/>
      <w:marLeft w:val="0"/>
      <w:marRight w:val="0"/>
      <w:marTop w:val="0"/>
      <w:marBottom w:val="0"/>
      <w:divBdr>
        <w:top w:val="none" w:sz="0" w:space="0" w:color="auto"/>
        <w:left w:val="none" w:sz="0" w:space="0" w:color="auto"/>
        <w:bottom w:val="none" w:sz="0" w:space="0" w:color="auto"/>
        <w:right w:val="none" w:sz="0" w:space="0" w:color="auto"/>
      </w:divBdr>
    </w:div>
    <w:div w:id="441850871">
      <w:bodyDiv w:val="1"/>
      <w:marLeft w:val="0"/>
      <w:marRight w:val="0"/>
      <w:marTop w:val="0"/>
      <w:marBottom w:val="0"/>
      <w:divBdr>
        <w:top w:val="none" w:sz="0" w:space="0" w:color="auto"/>
        <w:left w:val="none" w:sz="0" w:space="0" w:color="auto"/>
        <w:bottom w:val="none" w:sz="0" w:space="0" w:color="auto"/>
        <w:right w:val="none" w:sz="0" w:space="0" w:color="auto"/>
      </w:divBdr>
    </w:div>
    <w:div w:id="456023046">
      <w:bodyDiv w:val="1"/>
      <w:marLeft w:val="0"/>
      <w:marRight w:val="0"/>
      <w:marTop w:val="0"/>
      <w:marBottom w:val="0"/>
      <w:divBdr>
        <w:top w:val="none" w:sz="0" w:space="0" w:color="auto"/>
        <w:left w:val="none" w:sz="0" w:space="0" w:color="auto"/>
        <w:bottom w:val="none" w:sz="0" w:space="0" w:color="auto"/>
        <w:right w:val="none" w:sz="0" w:space="0" w:color="auto"/>
      </w:divBdr>
    </w:div>
    <w:div w:id="490829887">
      <w:bodyDiv w:val="1"/>
      <w:marLeft w:val="0"/>
      <w:marRight w:val="0"/>
      <w:marTop w:val="0"/>
      <w:marBottom w:val="0"/>
      <w:divBdr>
        <w:top w:val="none" w:sz="0" w:space="0" w:color="auto"/>
        <w:left w:val="none" w:sz="0" w:space="0" w:color="auto"/>
        <w:bottom w:val="none" w:sz="0" w:space="0" w:color="auto"/>
        <w:right w:val="none" w:sz="0" w:space="0" w:color="auto"/>
      </w:divBdr>
    </w:div>
    <w:div w:id="520633837">
      <w:bodyDiv w:val="1"/>
      <w:marLeft w:val="0"/>
      <w:marRight w:val="0"/>
      <w:marTop w:val="0"/>
      <w:marBottom w:val="0"/>
      <w:divBdr>
        <w:top w:val="none" w:sz="0" w:space="0" w:color="auto"/>
        <w:left w:val="none" w:sz="0" w:space="0" w:color="auto"/>
        <w:bottom w:val="none" w:sz="0" w:space="0" w:color="auto"/>
        <w:right w:val="none" w:sz="0" w:space="0" w:color="auto"/>
      </w:divBdr>
    </w:div>
    <w:div w:id="522936290">
      <w:bodyDiv w:val="1"/>
      <w:marLeft w:val="0"/>
      <w:marRight w:val="0"/>
      <w:marTop w:val="0"/>
      <w:marBottom w:val="0"/>
      <w:divBdr>
        <w:top w:val="none" w:sz="0" w:space="0" w:color="auto"/>
        <w:left w:val="none" w:sz="0" w:space="0" w:color="auto"/>
        <w:bottom w:val="none" w:sz="0" w:space="0" w:color="auto"/>
        <w:right w:val="none" w:sz="0" w:space="0" w:color="auto"/>
      </w:divBdr>
    </w:div>
    <w:div w:id="550918108">
      <w:bodyDiv w:val="1"/>
      <w:marLeft w:val="0"/>
      <w:marRight w:val="0"/>
      <w:marTop w:val="0"/>
      <w:marBottom w:val="0"/>
      <w:divBdr>
        <w:top w:val="none" w:sz="0" w:space="0" w:color="auto"/>
        <w:left w:val="none" w:sz="0" w:space="0" w:color="auto"/>
        <w:bottom w:val="none" w:sz="0" w:space="0" w:color="auto"/>
        <w:right w:val="none" w:sz="0" w:space="0" w:color="auto"/>
      </w:divBdr>
    </w:div>
    <w:div w:id="578835040">
      <w:bodyDiv w:val="1"/>
      <w:marLeft w:val="0"/>
      <w:marRight w:val="0"/>
      <w:marTop w:val="0"/>
      <w:marBottom w:val="0"/>
      <w:divBdr>
        <w:top w:val="none" w:sz="0" w:space="0" w:color="auto"/>
        <w:left w:val="none" w:sz="0" w:space="0" w:color="auto"/>
        <w:bottom w:val="none" w:sz="0" w:space="0" w:color="auto"/>
        <w:right w:val="none" w:sz="0" w:space="0" w:color="auto"/>
      </w:divBdr>
    </w:div>
    <w:div w:id="579871843">
      <w:bodyDiv w:val="1"/>
      <w:marLeft w:val="0"/>
      <w:marRight w:val="0"/>
      <w:marTop w:val="0"/>
      <w:marBottom w:val="0"/>
      <w:divBdr>
        <w:top w:val="none" w:sz="0" w:space="0" w:color="auto"/>
        <w:left w:val="none" w:sz="0" w:space="0" w:color="auto"/>
        <w:bottom w:val="none" w:sz="0" w:space="0" w:color="auto"/>
        <w:right w:val="none" w:sz="0" w:space="0" w:color="auto"/>
      </w:divBdr>
    </w:div>
    <w:div w:id="613099986">
      <w:bodyDiv w:val="1"/>
      <w:marLeft w:val="0"/>
      <w:marRight w:val="0"/>
      <w:marTop w:val="0"/>
      <w:marBottom w:val="0"/>
      <w:divBdr>
        <w:top w:val="none" w:sz="0" w:space="0" w:color="auto"/>
        <w:left w:val="none" w:sz="0" w:space="0" w:color="auto"/>
        <w:bottom w:val="none" w:sz="0" w:space="0" w:color="auto"/>
        <w:right w:val="none" w:sz="0" w:space="0" w:color="auto"/>
      </w:divBdr>
    </w:div>
    <w:div w:id="633876496">
      <w:bodyDiv w:val="1"/>
      <w:marLeft w:val="0"/>
      <w:marRight w:val="0"/>
      <w:marTop w:val="0"/>
      <w:marBottom w:val="0"/>
      <w:divBdr>
        <w:top w:val="none" w:sz="0" w:space="0" w:color="auto"/>
        <w:left w:val="none" w:sz="0" w:space="0" w:color="auto"/>
        <w:bottom w:val="none" w:sz="0" w:space="0" w:color="auto"/>
        <w:right w:val="none" w:sz="0" w:space="0" w:color="auto"/>
      </w:divBdr>
    </w:div>
    <w:div w:id="653873793">
      <w:bodyDiv w:val="1"/>
      <w:marLeft w:val="0"/>
      <w:marRight w:val="0"/>
      <w:marTop w:val="0"/>
      <w:marBottom w:val="0"/>
      <w:divBdr>
        <w:top w:val="none" w:sz="0" w:space="0" w:color="auto"/>
        <w:left w:val="none" w:sz="0" w:space="0" w:color="auto"/>
        <w:bottom w:val="none" w:sz="0" w:space="0" w:color="auto"/>
        <w:right w:val="none" w:sz="0" w:space="0" w:color="auto"/>
      </w:divBdr>
    </w:div>
    <w:div w:id="713576680">
      <w:bodyDiv w:val="1"/>
      <w:marLeft w:val="0"/>
      <w:marRight w:val="0"/>
      <w:marTop w:val="0"/>
      <w:marBottom w:val="0"/>
      <w:divBdr>
        <w:top w:val="none" w:sz="0" w:space="0" w:color="auto"/>
        <w:left w:val="none" w:sz="0" w:space="0" w:color="auto"/>
        <w:bottom w:val="none" w:sz="0" w:space="0" w:color="auto"/>
        <w:right w:val="none" w:sz="0" w:space="0" w:color="auto"/>
      </w:divBdr>
    </w:div>
    <w:div w:id="737216652">
      <w:bodyDiv w:val="1"/>
      <w:marLeft w:val="0"/>
      <w:marRight w:val="0"/>
      <w:marTop w:val="0"/>
      <w:marBottom w:val="0"/>
      <w:divBdr>
        <w:top w:val="none" w:sz="0" w:space="0" w:color="auto"/>
        <w:left w:val="none" w:sz="0" w:space="0" w:color="auto"/>
        <w:bottom w:val="none" w:sz="0" w:space="0" w:color="auto"/>
        <w:right w:val="none" w:sz="0" w:space="0" w:color="auto"/>
      </w:divBdr>
    </w:div>
    <w:div w:id="769162164">
      <w:bodyDiv w:val="1"/>
      <w:marLeft w:val="0"/>
      <w:marRight w:val="0"/>
      <w:marTop w:val="0"/>
      <w:marBottom w:val="0"/>
      <w:divBdr>
        <w:top w:val="none" w:sz="0" w:space="0" w:color="auto"/>
        <w:left w:val="none" w:sz="0" w:space="0" w:color="auto"/>
        <w:bottom w:val="none" w:sz="0" w:space="0" w:color="auto"/>
        <w:right w:val="none" w:sz="0" w:space="0" w:color="auto"/>
      </w:divBdr>
    </w:div>
    <w:div w:id="769273907">
      <w:bodyDiv w:val="1"/>
      <w:marLeft w:val="0"/>
      <w:marRight w:val="0"/>
      <w:marTop w:val="0"/>
      <w:marBottom w:val="0"/>
      <w:divBdr>
        <w:top w:val="none" w:sz="0" w:space="0" w:color="auto"/>
        <w:left w:val="none" w:sz="0" w:space="0" w:color="auto"/>
        <w:bottom w:val="none" w:sz="0" w:space="0" w:color="auto"/>
        <w:right w:val="none" w:sz="0" w:space="0" w:color="auto"/>
      </w:divBdr>
    </w:div>
    <w:div w:id="773474711">
      <w:bodyDiv w:val="1"/>
      <w:marLeft w:val="0"/>
      <w:marRight w:val="0"/>
      <w:marTop w:val="0"/>
      <w:marBottom w:val="0"/>
      <w:divBdr>
        <w:top w:val="none" w:sz="0" w:space="0" w:color="auto"/>
        <w:left w:val="none" w:sz="0" w:space="0" w:color="auto"/>
        <w:bottom w:val="none" w:sz="0" w:space="0" w:color="auto"/>
        <w:right w:val="none" w:sz="0" w:space="0" w:color="auto"/>
      </w:divBdr>
    </w:div>
    <w:div w:id="776366102">
      <w:bodyDiv w:val="1"/>
      <w:marLeft w:val="0"/>
      <w:marRight w:val="0"/>
      <w:marTop w:val="0"/>
      <w:marBottom w:val="0"/>
      <w:divBdr>
        <w:top w:val="none" w:sz="0" w:space="0" w:color="auto"/>
        <w:left w:val="none" w:sz="0" w:space="0" w:color="auto"/>
        <w:bottom w:val="none" w:sz="0" w:space="0" w:color="auto"/>
        <w:right w:val="none" w:sz="0" w:space="0" w:color="auto"/>
      </w:divBdr>
    </w:div>
    <w:div w:id="843711868">
      <w:bodyDiv w:val="1"/>
      <w:marLeft w:val="0"/>
      <w:marRight w:val="0"/>
      <w:marTop w:val="0"/>
      <w:marBottom w:val="0"/>
      <w:divBdr>
        <w:top w:val="none" w:sz="0" w:space="0" w:color="auto"/>
        <w:left w:val="none" w:sz="0" w:space="0" w:color="auto"/>
        <w:bottom w:val="none" w:sz="0" w:space="0" w:color="auto"/>
        <w:right w:val="none" w:sz="0" w:space="0" w:color="auto"/>
      </w:divBdr>
    </w:div>
    <w:div w:id="844050561">
      <w:bodyDiv w:val="1"/>
      <w:marLeft w:val="0"/>
      <w:marRight w:val="0"/>
      <w:marTop w:val="0"/>
      <w:marBottom w:val="0"/>
      <w:divBdr>
        <w:top w:val="none" w:sz="0" w:space="0" w:color="auto"/>
        <w:left w:val="none" w:sz="0" w:space="0" w:color="auto"/>
        <w:bottom w:val="none" w:sz="0" w:space="0" w:color="auto"/>
        <w:right w:val="none" w:sz="0" w:space="0" w:color="auto"/>
      </w:divBdr>
    </w:div>
    <w:div w:id="854922432">
      <w:bodyDiv w:val="1"/>
      <w:marLeft w:val="0"/>
      <w:marRight w:val="0"/>
      <w:marTop w:val="0"/>
      <w:marBottom w:val="0"/>
      <w:divBdr>
        <w:top w:val="none" w:sz="0" w:space="0" w:color="auto"/>
        <w:left w:val="none" w:sz="0" w:space="0" w:color="auto"/>
        <w:bottom w:val="none" w:sz="0" w:space="0" w:color="auto"/>
        <w:right w:val="none" w:sz="0" w:space="0" w:color="auto"/>
      </w:divBdr>
    </w:div>
    <w:div w:id="863520431">
      <w:bodyDiv w:val="1"/>
      <w:marLeft w:val="0"/>
      <w:marRight w:val="0"/>
      <w:marTop w:val="0"/>
      <w:marBottom w:val="0"/>
      <w:divBdr>
        <w:top w:val="none" w:sz="0" w:space="0" w:color="auto"/>
        <w:left w:val="none" w:sz="0" w:space="0" w:color="auto"/>
        <w:bottom w:val="none" w:sz="0" w:space="0" w:color="auto"/>
        <w:right w:val="none" w:sz="0" w:space="0" w:color="auto"/>
      </w:divBdr>
    </w:div>
    <w:div w:id="885990410">
      <w:bodyDiv w:val="1"/>
      <w:marLeft w:val="0"/>
      <w:marRight w:val="0"/>
      <w:marTop w:val="0"/>
      <w:marBottom w:val="0"/>
      <w:divBdr>
        <w:top w:val="none" w:sz="0" w:space="0" w:color="auto"/>
        <w:left w:val="none" w:sz="0" w:space="0" w:color="auto"/>
        <w:bottom w:val="none" w:sz="0" w:space="0" w:color="auto"/>
        <w:right w:val="none" w:sz="0" w:space="0" w:color="auto"/>
      </w:divBdr>
    </w:div>
    <w:div w:id="897519087">
      <w:bodyDiv w:val="1"/>
      <w:marLeft w:val="0"/>
      <w:marRight w:val="0"/>
      <w:marTop w:val="0"/>
      <w:marBottom w:val="0"/>
      <w:divBdr>
        <w:top w:val="none" w:sz="0" w:space="0" w:color="auto"/>
        <w:left w:val="none" w:sz="0" w:space="0" w:color="auto"/>
        <w:bottom w:val="none" w:sz="0" w:space="0" w:color="auto"/>
        <w:right w:val="none" w:sz="0" w:space="0" w:color="auto"/>
      </w:divBdr>
    </w:div>
    <w:div w:id="921527572">
      <w:bodyDiv w:val="1"/>
      <w:marLeft w:val="0"/>
      <w:marRight w:val="0"/>
      <w:marTop w:val="0"/>
      <w:marBottom w:val="0"/>
      <w:divBdr>
        <w:top w:val="none" w:sz="0" w:space="0" w:color="auto"/>
        <w:left w:val="none" w:sz="0" w:space="0" w:color="auto"/>
        <w:bottom w:val="none" w:sz="0" w:space="0" w:color="auto"/>
        <w:right w:val="none" w:sz="0" w:space="0" w:color="auto"/>
      </w:divBdr>
      <w:divsChild>
        <w:div w:id="502473642">
          <w:marLeft w:val="0"/>
          <w:marRight w:val="0"/>
          <w:marTop w:val="30"/>
          <w:marBottom w:val="0"/>
          <w:divBdr>
            <w:top w:val="none" w:sz="0" w:space="0" w:color="auto"/>
            <w:left w:val="none" w:sz="0" w:space="0" w:color="auto"/>
            <w:bottom w:val="none" w:sz="0" w:space="0" w:color="auto"/>
            <w:right w:val="none" w:sz="0" w:space="0" w:color="auto"/>
          </w:divBdr>
        </w:div>
      </w:divsChild>
    </w:div>
    <w:div w:id="926579230">
      <w:bodyDiv w:val="1"/>
      <w:marLeft w:val="0"/>
      <w:marRight w:val="0"/>
      <w:marTop w:val="0"/>
      <w:marBottom w:val="0"/>
      <w:divBdr>
        <w:top w:val="none" w:sz="0" w:space="0" w:color="auto"/>
        <w:left w:val="none" w:sz="0" w:space="0" w:color="auto"/>
        <w:bottom w:val="none" w:sz="0" w:space="0" w:color="auto"/>
        <w:right w:val="none" w:sz="0" w:space="0" w:color="auto"/>
      </w:divBdr>
    </w:div>
    <w:div w:id="936250446">
      <w:bodyDiv w:val="1"/>
      <w:marLeft w:val="0"/>
      <w:marRight w:val="0"/>
      <w:marTop w:val="0"/>
      <w:marBottom w:val="0"/>
      <w:divBdr>
        <w:top w:val="none" w:sz="0" w:space="0" w:color="auto"/>
        <w:left w:val="none" w:sz="0" w:space="0" w:color="auto"/>
        <w:bottom w:val="none" w:sz="0" w:space="0" w:color="auto"/>
        <w:right w:val="none" w:sz="0" w:space="0" w:color="auto"/>
      </w:divBdr>
    </w:div>
    <w:div w:id="1009259766">
      <w:bodyDiv w:val="1"/>
      <w:marLeft w:val="0"/>
      <w:marRight w:val="0"/>
      <w:marTop w:val="0"/>
      <w:marBottom w:val="0"/>
      <w:divBdr>
        <w:top w:val="none" w:sz="0" w:space="0" w:color="auto"/>
        <w:left w:val="none" w:sz="0" w:space="0" w:color="auto"/>
        <w:bottom w:val="none" w:sz="0" w:space="0" w:color="auto"/>
        <w:right w:val="none" w:sz="0" w:space="0" w:color="auto"/>
      </w:divBdr>
    </w:div>
    <w:div w:id="1018702188">
      <w:bodyDiv w:val="1"/>
      <w:marLeft w:val="0"/>
      <w:marRight w:val="0"/>
      <w:marTop w:val="0"/>
      <w:marBottom w:val="0"/>
      <w:divBdr>
        <w:top w:val="none" w:sz="0" w:space="0" w:color="auto"/>
        <w:left w:val="none" w:sz="0" w:space="0" w:color="auto"/>
        <w:bottom w:val="none" w:sz="0" w:space="0" w:color="auto"/>
        <w:right w:val="none" w:sz="0" w:space="0" w:color="auto"/>
      </w:divBdr>
    </w:div>
    <w:div w:id="1025180236">
      <w:bodyDiv w:val="1"/>
      <w:marLeft w:val="0"/>
      <w:marRight w:val="0"/>
      <w:marTop w:val="0"/>
      <w:marBottom w:val="0"/>
      <w:divBdr>
        <w:top w:val="none" w:sz="0" w:space="0" w:color="auto"/>
        <w:left w:val="none" w:sz="0" w:space="0" w:color="auto"/>
        <w:bottom w:val="none" w:sz="0" w:space="0" w:color="auto"/>
        <w:right w:val="none" w:sz="0" w:space="0" w:color="auto"/>
      </w:divBdr>
    </w:div>
    <w:div w:id="1033072783">
      <w:bodyDiv w:val="1"/>
      <w:marLeft w:val="0"/>
      <w:marRight w:val="0"/>
      <w:marTop w:val="0"/>
      <w:marBottom w:val="0"/>
      <w:divBdr>
        <w:top w:val="none" w:sz="0" w:space="0" w:color="auto"/>
        <w:left w:val="none" w:sz="0" w:space="0" w:color="auto"/>
        <w:bottom w:val="none" w:sz="0" w:space="0" w:color="auto"/>
        <w:right w:val="none" w:sz="0" w:space="0" w:color="auto"/>
      </w:divBdr>
    </w:div>
    <w:div w:id="1055273152">
      <w:bodyDiv w:val="1"/>
      <w:marLeft w:val="0"/>
      <w:marRight w:val="0"/>
      <w:marTop w:val="0"/>
      <w:marBottom w:val="0"/>
      <w:divBdr>
        <w:top w:val="none" w:sz="0" w:space="0" w:color="auto"/>
        <w:left w:val="none" w:sz="0" w:space="0" w:color="auto"/>
        <w:bottom w:val="none" w:sz="0" w:space="0" w:color="auto"/>
        <w:right w:val="none" w:sz="0" w:space="0" w:color="auto"/>
      </w:divBdr>
    </w:div>
    <w:div w:id="1056010975">
      <w:bodyDiv w:val="1"/>
      <w:marLeft w:val="0"/>
      <w:marRight w:val="0"/>
      <w:marTop w:val="0"/>
      <w:marBottom w:val="0"/>
      <w:divBdr>
        <w:top w:val="none" w:sz="0" w:space="0" w:color="auto"/>
        <w:left w:val="none" w:sz="0" w:space="0" w:color="auto"/>
        <w:bottom w:val="none" w:sz="0" w:space="0" w:color="auto"/>
        <w:right w:val="none" w:sz="0" w:space="0" w:color="auto"/>
      </w:divBdr>
    </w:div>
    <w:div w:id="1105272805">
      <w:bodyDiv w:val="1"/>
      <w:marLeft w:val="0"/>
      <w:marRight w:val="0"/>
      <w:marTop w:val="0"/>
      <w:marBottom w:val="0"/>
      <w:divBdr>
        <w:top w:val="none" w:sz="0" w:space="0" w:color="auto"/>
        <w:left w:val="none" w:sz="0" w:space="0" w:color="auto"/>
        <w:bottom w:val="none" w:sz="0" w:space="0" w:color="auto"/>
        <w:right w:val="none" w:sz="0" w:space="0" w:color="auto"/>
      </w:divBdr>
    </w:div>
    <w:div w:id="1124155583">
      <w:bodyDiv w:val="1"/>
      <w:marLeft w:val="0"/>
      <w:marRight w:val="0"/>
      <w:marTop w:val="0"/>
      <w:marBottom w:val="0"/>
      <w:divBdr>
        <w:top w:val="none" w:sz="0" w:space="0" w:color="auto"/>
        <w:left w:val="none" w:sz="0" w:space="0" w:color="auto"/>
        <w:bottom w:val="none" w:sz="0" w:space="0" w:color="auto"/>
        <w:right w:val="none" w:sz="0" w:space="0" w:color="auto"/>
      </w:divBdr>
    </w:div>
    <w:div w:id="1139419091">
      <w:bodyDiv w:val="1"/>
      <w:marLeft w:val="0"/>
      <w:marRight w:val="0"/>
      <w:marTop w:val="0"/>
      <w:marBottom w:val="0"/>
      <w:divBdr>
        <w:top w:val="none" w:sz="0" w:space="0" w:color="auto"/>
        <w:left w:val="none" w:sz="0" w:space="0" w:color="auto"/>
        <w:bottom w:val="none" w:sz="0" w:space="0" w:color="auto"/>
        <w:right w:val="none" w:sz="0" w:space="0" w:color="auto"/>
      </w:divBdr>
    </w:div>
    <w:div w:id="1172064722">
      <w:bodyDiv w:val="1"/>
      <w:marLeft w:val="0"/>
      <w:marRight w:val="0"/>
      <w:marTop w:val="0"/>
      <w:marBottom w:val="0"/>
      <w:divBdr>
        <w:top w:val="none" w:sz="0" w:space="0" w:color="auto"/>
        <w:left w:val="none" w:sz="0" w:space="0" w:color="auto"/>
        <w:bottom w:val="none" w:sz="0" w:space="0" w:color="auto"/>
        <w:right w:val="none" w:sz="0" w:space="0" w:color="auto"/>
      </w:divBdr>
    </w:div>
    <w:div w:id="1213419092">
      <w:bodyDiv w:val="1"/>
      <w:marLeft w:val="0"/>
      <w:marRight w:val="0"/>
      <w:marTop w:val="0"/>
      <w:marBottom w:val="0"/>
      <w:divBdr>
        <w:top w:val="none" w:sz="0" w:space="0" w:color="auto"/>
        <w:left w:val="none" w:sz="0" w:space="0" w:color="auto"/>
        <w:bottom w:val="none" w:sz="0" w:space="0" w:color="auto"/>
        <w:right w:val="none" w:sz="0" w:space="0" w:color="auto"/>
      </w:divBdr>
    </w:div>
    <w:div w:id="1232735901">
      <w:bodyDiv w:val="1"/>
      <w:marLeft w:val="0"/>
      <w:marRight w:val="0"/>
      <w:marTop w:val="0"/>
      <w:marBottom w:val="0"/>
      <w:divBdr>
        <w:top w:val="none" w:sz="0" w:space="0" w:color="auto"/>
        <w:left w:val="none" w:sz="0" w:space="0" w:color="auto"/>
        <w:bottom w:val="none" w:sz="0" w:space="0" w:color="auto"/>
        <w:right w:val="none" w:sz="0" w:space="0" w:color="auto"/>
      </w:divBdr>
    </w:div>
    <w:div w:id="1245916132">
      <w:bodyDiv w:val="1"/>
      <w:marLeft w:val="0"/>
      <w:marRight w:val="0"/>
      <w:marTop w:val="0"/>
      <w:marBottom w:val="0"/>
      <w:divBdr>
        <w:top w:val="none" w:sz="0" w:space="0" w:color="auto"/>
        <w:left w:val="none" w:sz="0" w:space="0" w:color="auto"/>
        <w:bottom w:val="none" w:sz="0" w:space="0" w:color="auto"/>
        <w:right w:val="none" w:sz="0" w:space="0" w:color="auto"/>
      </w:divBdr>
    </w:div>
    <w:div w:id="1317413059">
      <w:bodyDiv w:val="1"/>
      <w:marLeft w:val="0"/>
      <w:marRight w:val="0"/>
      <w:marTop w:val="0"/>
      <w:marBottom w:val="0"/>
      <w:divBdr>
        <w:top w:val="none" w:sz="0" w:space="0" w:color="auto"/>
        <w:left w:val="none" w:sz="0" w:space="0" w:color="auto"/>
        <w:bottom w:val="none" w:sz="0" w:space="0" w:color="auto"/>
        <w:right w:val="none" w:sz="0" w:space="0" w:color="auto"/>
      </w:divBdr>
    </w:div>
    <w:div w:id="1322196172">
      <w:bodyDiv w:val="1"/>
      <w:marLeft w:val="0"/>
      <w:marRight w:val="0"/>
      <w:marTop w:val="0"/>
      <w:marBottom w:val="0"/>
      <w:divBdr>
        <w:top w:val="none" w:sz="0" w:space="0" w:color="auto"/>
        <w:left w:val="none" w:sz="0" w:space="0" w:color="auto"/>
        <w:bottom w:val="none" w:sz="0" w:space="0" w:color="auto"/>
        <w:right w:val="none" w:sz="0" w:space="0" w:color="auto"/>
      </w:divBdr>
    </w:div>
    <w:div w:id="1358238917">
      <w:bodyDiv w:val="1"/>
      <w:marLeft w:val="0"/>
      <w:marRight w:val="0"/>
      <w:marTop w:val="0"/>
      <w:marBottom w:val="0"/>
      <w:divBdr>
        <w:top w:val="none" w:sz="0" w:space="0" w:color="auto"/>
        <w:left w:val="none" w:sz="0" w:space="0" w:color="auto"/>
        <w:bottom w:val="none" w:sz="0" w:space="0" w:color="auto"/>
        <w:right w:val="none" w:sz="0" w:space="0" w:color="auto"/>
      </w:divBdr>
    </w:div>
    <w:div w:id="1364818619">
      <w:bodyDiv w:val="1"/>
      <w:marLeft w:val="0"/>
      <w:marRight w:val="0"/>
      <w:marTop w:val="0"/>
      <w:marBottom w:val="0"/>
      <w:divBdr>
        <w:top w:val="none" w:sz="0" w:space="0" w:color="auto"/>
        <w:left w:val="none" w:sz="0" w:space="0" w:color="auto"/>
        <w:bottom w:val="none" w:sz="0" w:space="0" w:color="auto"/>
        <w:right w:val="none" w:sz="0" w:space="0" w:color="auto"/>
      </w:divBdr>
    </w:div>
    <w:div w:id="1372223366">
      <w:bodyDiv w:val="1"/>
      <w:marLeft w:val="0"/>
      <w:marRight w:val="0"/>
      <w:marTop w:val="0"/>
      <w:marBottom w:val="0"/>
      <w:divBdr>
        <w:top w:val="none" w:sz="0" w:space="0" w:color="auto"/>
        <w:left w:val="none" w:sz="0" w:space="0" w:color="auto"/>
        <w:bottom w:val="none" w:sz="0" w:space="0" w:color="auto"/>
        <w:right w:val="none" w:sz="0" w:space="0" w:color="auto"/>
      </w:divBdr>
    </w:div>
    <w:div w:id="1387296960">
      <w:bodyDiv w:val="1"/>
      <w:marLeft w:val="0"/>
      <w:marRight w:val="0"/>
      <w:marTop w:val="0"/>
      <w:marBottom w:val="0"/>
      <w:divBdr>
        <w:top w:val="none" w:sz="0" w:space="0" w:color="auto"/>
        <w:left w:val="none" w:sz="0" w:space="0" w:color="auto"/>
        <w:bottom w:val="none" w:sz="0" w:space="0" w:color="auto"/>
        <w:right w:val="none" w:sz="0" w:space="0" w:color="auto"/>
      </w:divBdr>
    </w:div>
    <w:div w:id="1406419686">
      <w:bodyDiv w:val="1"/>
      <w:marLeft w:val="0"/>
      <w:marRight w:val="0"/>
      <w:marTop w:val="0"/>
      <w:marBottom w:val="0"/>
      <w:divBdr>
        <w:top w:val="none" w:sz="0" w:space="0" w:color="auto"/>
        <w:left w:val="none" w:sz="0" w:space="0" w:color="auto"/>
        <w:bottom w:val="none" w:sz="0" w:space="0" w:color="auto"/>
        <w:right w:val="none" w:sz="0" w:space="0" w:color="auto"/>
      </w:divBdr>
    </w:div>
    <w:div w:id="1416048297">
      <w:bodyDiv w:val="1"/>
      <w:marLeft w:val="0"/>
      <w:marRight w:val="0"/>
      <w:marTop w:val="0"/>
      <w:marBottom w:val="0"/>
      <w:divBdr>
        <w:top w:val="none" w:sz="0" w:space="0" w:color="auto"/>
        <w:left w:val="none" w:sz="0" w:space="0" w:color="auto"/>
        <w:bottom w:val="none" w:sz="0" w:space="0" w:color="auto"/>
        <w:right w:val="none" w:sz="0" w:space="0" w:color="auto"/>
      </w:divBdr>
    </w:div>
    <w:div w:id="1419212674">
      <w:bodyDiv w:val="1"/>
      <w:marLeft w:val="0"/>
      <w:marRight w:val="0"/>
      <w:marTop w:val="0"/>
      <w:marBottom w:val="0"/>
      <w:divBdr>
        <w:top w:val="none" w:sz="0" w:space="0" w:color="auto"/>
        <w:left w:val="none" w:sz="0" w:space="0" w:color="auto"/>
        <w:bottom w:val="none" w:sz="0" w:space="0" w:color="auto"/>
        <w:right w:val="none" w:sz="0" w:space="0" w:color="auto"/>
      </w:divBdr>
    </w:div>
    <w:div w:id="1480416558">
      <w:bodyDiv w:val="1"/>
      <w:marLeft w:val="0"/>
      <w:marRight w:val="0"/>
      <w:marTop w:val="0"/>
      <w:marBottom w:val="0"/>
      <w:divBdr>
        <w:top w:val="none" w:sz="0" w:space="0" w:color="auto"/>
        <w:left w:val="none" w:sz="0" w:space="0" w:color="auto"/>
        <w:bottom w:val="none" w:sz="0" w:space="0" w:color="auto"/>
        <w:right w:val="none" w:sz="0" w:space="0" w:color="auto"/>
      </w:divBdr>
    </w:div>
    <w:div w:id="1483231465">
      <w:bodyDiv w:val="1"/>
      <w:marLeft w:val="0"/>
      <w:marRight w:val="0"/>
      <w:marTop w:val="0"/>
      <w:marBottom w:val="0"/>
      <w:divBdr>
        <w:top w:val="none" w:sz="0" w:space="0" w:color="auto"/>
        <w:left w:val="none" w:sz="0" w:space="0" w:color="auto"/>
        <w:bottom w:val="none" w:sz="0" w:space="0" w:color="auto"/>
        <w:right w:val="none" w:sz="0" w:space="0" w:color="auto"/>
      </w:divBdr>
    </w:div>
    <w:div w:id="1489050085">
      <w:bodyDiv w:val="1"/>
      <w:marLeft w:val="0"/>
      <w:marRight w:val="0"/>
      <w:marTop w:val="0"/>
      <w:marBottom w:val="0"/>
      <w:divBdr>
        <w:top w:val="none" w:sz="0" w:space="0" w:color="auto"/>
        <w:left w:val="none" w:sz="0" w:space="0" w:color="auto"/>
        <w:bottom w:val="none" w:sz="0" w:space="0" w:color="auto"/>
        <w:right w:val="none" w:sz="0" w:space="0" w:color="auto"/>
      </w:divBdr>
    </w:div>
    <w:div w:id="1489246559">
      <w:bodyDiv w:val="1"/>
      <w:marLeft w:val="0"/>
      <w:marRight w:val="0"/>
      <w:marTop w:val="0"/>
      <w:marBottom w:val="0"/>
      <w:divBdr>
        <w:top w:val="none" w:sz="0" w:space="0" w:color="auto"/>
        <w:left w:val="none" w:sz="0" w:space="0" w:color="auto"/>
        <w:bottom w:val="none" w:sz="0" w:space="0" w:color="auto"/>
        <w:right w:val="none" w:sz="0" w:space="0" w:color="auto"/>
      </w:divBdr>
    </w:div>
    <w:div w:id="1493377046">
      <w:bodyDiv w:val="1"/>
      <w:marLeft w:val="0"/>
      <w:marRight w:val="0"/>
      <w:marTop w:val="0"/>
      <w:marBottom w:val="0"/>
      <w:divBdr>
        <w:top w:val="none" w:sz="0" w:space="0" w:color="auto"/>
        <w:left w:val="none" w:sz="0" w:space="0" w:color="auto"/>
        <w:bottom w:val="none" w:sz="0" w:space="0" w:color="auto"/>
        <w:right w:val="none" w:sz="0" w:space="0" w:color="auto"/>
      </w:divBdr>
    </w:div>
    <w:div w:id="1509100393">
      <w:bodyDiv w:val="1"/>
      <w:marLeft w:val="0"/>
      <w:marRight w:val="0"/>
      <w:marTop w:val="0"/>
      <w:marBottom w:val="0"/>
      <w:divBdr>
        <w:top w:val="none" w:sz="0" w:space="0" w:color="auto"/>
        <w:left w:val="none" w:sz="0" w:space="0" w:color="auto"/>
        <w:bottom w:val="none" w:sz="0" w:space="0" w:color="auto"/>
        <w:right w:val="none" w:sz="0" w:space="0" w:color="auto"/>
      </w:divBdr>
    </w:div>
    <w:div w:id="1521777327">
      <w:bodyDiv w:val="1"/>
      <w:marLeft w:val="0"/>
      <w:marRight w:val="0"/>
      <w:marTop w:val="0"/>
      <w:marBottom w:val="0"/>
      <w:divBdr>
        <w:top w:val="none" w:sz="0" w:space="0" w:color="auto"/>
        <w:left w:val="none" w:sz="0" w:space="0" w:color="auto"/>
        <w:bottom w:val="none" w:sz="0" w:space="0" w:color="auto"/>
        <w:right w:val="none" w:sz="0" w:space="0" w:color="auto"/>
      </w:divBdr>
    </w:div>
    <w:div w:id="1545290449">
      <w:bodyDiv w:val="1"/>
      <w:marLeft w:val="0"/>
      <w:marRight w:val="0"/>
      <w:marTop w:val="0"/>
      <w:marBottom w:val="0"/>
      <w:divBdr>
        <w:top w:val="none" w:sz="0" w:space="0" w:color="auto"/>
        <w:left w:val="none" w:sz="0" w:space="0" w:color="auto"/>
        <w:bottom w:val="none" w:sz="0" w:space="0" w:color="auto"/>
        <w:right w:val="none" w:sz="0" w:space="0" w:color="auto"/>
      </w:divBdr>
    </w:div>
    <w:div w:id="1556819990">
      <w:bodyDiv w:val="1"/>
      <w:marLeft w:val="0"/>
      <w:marRight w:val="0"/>
      <w:marTop w:val="0"/>
      <w:marBottom w:val="0"/>
      <w:divBdr>
        <w:top w:val="none" w:sz="0" w:space="0" w:color="auto"/>
        <w:left w:val="none" w:sz="0" w:space="0" w:color="auto"/>
        <w:bottom w:val="none" w:sz="0" w:space="0" w:color="auto"/>
        <w:right w:val="none" w:sz="0" w:space="0" w:color="auto"/>
      </w:divBdr>
    </w:div>
    <w:div w:id="1603299975">
      <w:bodyDiv w:val="1"/>
      <w:marLeft w:val="0"/>
      <w:marRight w:val="0"/>
      <w:marTop w:val="0"/>
      <w:marBottom w:val="0"/>
      <w:divBdr>
        <w:top w:val="none" w:sz="0" w:space="0" w:color="auto"/>
        <w:left w:val="none" w:sz="0" w:space="0" w:color="auto"/>
        <w:bottom w:val="none" w:sz="0" w:space="0" w:color="auto"/>
        <w:right w:val="none" w:sz="0" w:space="0" w:color="auto"/>
      </w:divBdr>
    </w:div>
    <w:div w:id="1644459531">
      <w:bodyDiv w:val="1"/>
      <w:marLeft w:val="0"/>
      <w:marRight w:val="0"/>
      <w:marTop w:val="0"/>
      <w:marBottom w:val="0"/>
      <w:divBdr>
        <w:top w:val="none" w:sz="0" w:space="0" w:color="auto"/>
        <w:left w:val="none" w:sz="0" w:space="0" w:color="auto"/>
        <w:bottom w:val="none" w:sz="0" w:space="0" w:color="auto"/>
        <w:right w:val="none" w:sz="0" w:space="0" w:color="auto"/>
      </w:divBdr>
    </w:div>
    <w:div w:id="1647978529">
      <w:bodyDiv w:val="1"/>
      <w:marLeft w:val="0"/>
      <w:marRight w:val="0"/>
      <w:marTop w:val="0"/>
      <w:marBottom w:val="0"/>
      <w:divBdr>
        <w:top w:val="none" w:sz="0" w:space="0" w:color="auto"/>
        <w:left w:val="none" w:sz="0" w:space="0" w:color="auto"/>
        <w:bottom w:val="none" w:sz="0" w:space="0" w:color="auto"/>
        <w:right w:val="none" w:sz="0" w:space="0" w:color="auto"/>
      </w:divBdr>
    </w:div>
    <w:div w:id="1745682496">
      <w:bodyDiv w:val="1"/>
      <w:marLeft w:val="0"/>
      <w:marRight w:val="0"/>
      <w:marTop w:val="0"/>
      <w:marBottom w:val="0"/>
      <w:divBdr>
        <w:top w:val="none" w:sz="0" w:space="0" w:color="auto"/>
        <w:left w:val="none" w:sz="0" w:space="0" w:color="auto"/>
        <w:bottom w:val="none" w:sz="0" w:space="0" w:color="auto"/>
        <w:right w:val="none" w:sz="0" w:space="0" w:color="auto"/>
      </w:divBdr>
    </w:div>
    <w:div w:id="1764296894">
      <w:bodyDiv w:val="1"/>
      <w:marLeft w:val="0"/>
      <w:marRight w:val="0"/>
      <w:marTop w:val="0"/>
      <w:marBottom w:val="0"/>
      <w:divBdr>
        <w:top w:val="none" w:sz="0" w:space="0" w:color="auto"/>
        <w:left w:val="none" w:sz="0" w:space="0" w:color="auto"/>
        <w:bottom w:val="none" w:sz="0" w:space="0" w:color="auto"/>
        <w:right w:val="none" w:sz="0" w:space="0" w:color="auto"/>
      </w:divBdr>
    </w:div>
    <w:div w:id="1773433472">
      <w:bodyDiv w:val="1"/>
      <w:marLeft w:val="0"/>
      <w:marRight w:val="0"/>
      <w:marTop w:val="0"/>
      <w:marBottom w:val="0"/>
      <w:divBdr>
        <w:top w:val="none" w:sz="0" w:space="0" w:color="auto"/>
        <w:left w:val="none" w:sz="0" w:space="0" w:color="auto"/>
        <w:bottom w:val="none" w:sz="0" w:space="0" w:color="auto"/>
        <w:right w:val="none" w:sz="0" w:space="0" w:color="auto"/>
      </w:divBdr>
    </w:div>
    <w:div w:id="1810125164">
      <w:bodyDiv w:val="1"/>
      <w:marLeft w:val="0"/>
      <w:marRight w:val="0"/>
      <w:marTop w:val="0"/>
      <w:marBottom w:val="0"/>
      <w:divBdr>
        <w:top w:val="none" w:sz="0" w:space="0" w:color="auto"/>
        <w:left w:val="none" w:sz="0" w:space="0" w:color="auto"/>
        <w:bottom w:val="none" w:sz="0" w:space="0" w:color="auto"/>
        <w:right w:val="none" w:sz="0" w:space="0" w:color="auto"/>
      </w:divBdr>
    </w:div>
    <w:div w:id="1839421328">
      <w:bodyDiv w:val="1"/>
      <w:marLeft w:val="0"/>
      <w:marRight w:val="0"/>
      <w:marTop w:val="0"/>
      <w:marBottom w:val="0"/>
      <w:divBdr>
        <w:top w:val="none" w:sz="0" w:space="0" w:color="auto"/>
        <w:left w:val="none" w:sz="0" w:space="0" w:color="auto"/>
        <w:bottom w:val="none" w:sz="0" w:space="0" w:color="auto"/>
        <w:right w:val="none" w:sz="0" w:space="0" w:color="auto"/>
      </w:divBdr>
      <w:divsChild>
        <w:div w:id="1372730488">
          <w:marLeft w:val="0"/>
          <w:marRight w:val="0"/>
          <w:marTop w:val="0"/>
          <w:marBottom w:val="0"/>
          <w:divBdr>
            <w:top w:val="none" w:sz="0" w:space="0" w:color="auto"/>
            <w:left w:val="none" w:sz="0" w:space="0" w:color="auto"/>
            <w:bottom w:val="none" w:sz="0" w:space="0" w:color="auto"/>
            <w:right w:val="none" w:sz="0" w:space="0" w:color="auto"/>
          </w:divBdr>
          <w:divsChild>
            <w:div w:id="402022419">
              <w:marLeft w:val="0"/>
              <w:marRight w:val="0"/>
              <w:marTop w:val="0"/>
              <w:marBottom w:val="0"/>
              <w:divBdr>
                <w:top w:val="none" w:sz="0" w:space="0" w:color="auto"/>
                <w:left w:val="none" w:sz="0" w:space="0" w:color="auto"/>
                <w:bottom w:val="none" w:sz="0" w:space="0" w:color="auto"/>
                <w:right w:val="none" w:sz="0" w:space="0" w:color="auto"/>
              </w:divBdr>
              <w:divsChild>
                <w:div w:id="1440486936">
                  <w:marLeft w:val="0"/>
                  <w:marRight w:val="0"/>
                  <w:marTop w:val="0"/>
                  <w:marBottom w:val="0"/>
                  <w:divBdr>
                    <w:top w:val="none" w:sz="0" w:space="0" w:color="auto"/>
                    <w:left w:val="none" w:sz="0" w:space="0" w:color="auto"/>
                    <w:bottom w:val="none" w:sz="0" w:space="0" w:color="auto"/>
                    <w:right w:val="none" w:sz="0" w:space="0" w:color="auto"/>
                  </w:divBdr>
                  <w:divsChild>
                    <w:div w:id="2020697821">
                      <w:marLeft w:val="0"/>
                      <w:marRight w:val="0"/>
                      <w:marTop w:val="0"/>
                      <w:marBottom w:val="0"/>
                      <w:divBdr>
                        <w:top w:val="none" w:sz="0" w:space="0" w:color="auto"/>
                        <w:left w:val="none" w:sz="0" w:space="0" w:color="auto"/>
                        <w:bottom w:val="none" w:sz="0" w:space="0" w:color="auto"/>
                        <w:right w:val="none" w:sz="0" w:space="0" w:color="auto"/>
                      </w:divBdr>
                      <w:divsChild>
                        <w:div w:id="608969900">
                          <w:marLeft w:val="0"/>
                          <w:marRight w:val="0"/>
                          <w:marTop w:val="45"/>
                          <w:marBottom w:val="0"/>
                          <w:divBdr>
                            <w:top w:val="none" w:sz="0" w:space="0" w:color="auto"/>
                            <w:left w:val="none" w:sz="0" w:space="0" w:color="auto"/>
                            <w:bottom w:val="none" w:sz="0" w:space="0" w:color="auto"/>
                            <w:right w:val="none" w:sz="0" w:space="0" w:color="auto"/>
                          </w:divBdr>
                          <w:divsChild>
                            <w:div w:id="472409580">
                              <w:marLeft w:val="0"/>
                              <w:marRight w:val="0"/>
                              <w:marTop w:val="0"/>
                              <w:marBottom w:val="0"/>
                              <w:divBdr>
                                <w:top w:val="none" w:sz="0" w:space="0" w:color="auto"/>
                                <w:left w:val="none" w:sz="0" w:space="0" w:color="auto"/>
                                <w:bottom w:val="none" w:sz="0" w:space="0" w:color="auto"/>
                                <w:right w:val="none" w:sz="0" w:space="0" w:color="auto"/>
                              </w:divBdr>
                              <w:divsChild>
                                <w:div w:id="627778523">
                                  <w:marLeft w:val="2070"/>
                                  <w:marRight w:val="3810"/>
                                  <w:marTop w:val="0"/>
                                  <w:marBottom w:val="0"/>
                                  <w:divBdr>
                                    <w:top w:val="none" w:sz="0" w:space="0" w:color="auto"/>
                                    <w:left w:val="none" w:sz="0" w:space="0" w:color="auto"/>
                                    <w:bottom w:val="none" w:sz="0" w:space="0" w:color="auto"/>
                                    <w:right w:val="none" w:sz="0" w:space="0" w:color="auto"/>
                                  </w:divBdr>
                                  <w:divsChild>
                                    <w:div w:id="972172535">
                                      <w:marLeft w:val="0"/>
                                      <w:marRight w:val="0"/>
                                      <w:marTop w:val="0"/>
                                      <w:marBottom w:val="0"/>
                                      <w:divBdr>
                                        <w:top w:val="none" w:sz="0" w:space="0" w:color="auto"/>
                                        <w:left w:val="none" w:sz="0" w:space="0" w:color="auto"/>
                                        <w:bottom w:val="none" w:sz="0" w:space="0" w:color="auto"/>
                                        <w:right w:val="none" w:sz="0" w:space="0" w:color="auto"/>
                                      </w:divBdr>
                                      <w:divsChild>
                                        <w:div w:id="2058509363">
                                          <w:marLeft w:val="0"/>
                                          <w:marRight w:val="0"/>
                                          <w:marTop w:val="0"/>
                                          <w:marBottom w:val="0"/>
                                          <w:divBdr>
                                            <w:top w:val="none" w:sz="0" w:space="0" w:color="auto"/>
                                            <w:left w:val="none" w:sz="0" w:space="0" w:color="auto"/>
                                            <w:bottom w:val="none" w:sz="0" w:space="0" w:color="auto"/>
                                            <w:right w:val="none" w:sz="0" w:space="0" w:color="auto"/>
                                          </w:divBdr>
                                          <w:divsChild>
                                            <w:div w:id="2004233479">
                                              <w:marLeft w:val="0"/>
                                              <w:marRight w:val="0"/>
                                              <w:marTop w:val="0"/>
                                              <w:marBottom w:val="0"/>
                                              <w:divBdr>
                                                <w:top w:val="none" w:sz="0" w:space="0" w:color="auto"/>
                                                <w:left w:val="none" w:sz="0" w:space="0" w:color="auto"/>
                                                <w:bottom w:val="none" w:sz="0" w:space="0" w:color="auto"/>
                                                <w:right w:val="none" w:sz="0" w:space="0" w:color="auto"/>
                                              </w:divBdr>
                                              <w:divsChild>
                                                <w:div w:id="324165882">
                                                  <w:marLeft w:val="0"/>
                                                  <w:marRight w:val="0"/>
                                                  <w:marTop w:val="90"/>
                                                  <w:marBottom w:val="0"/>
                                                  <w:divBdr>
                                                    <w:top w:val="none" w:sz="0" w:space="0" w:color="auto"/>
                                                    <w:left w:val="none" w:sz="0" w:space="0" w:color="auto"/>
                                                    <w:bottom w:val="none" w:sz="0" w:space="0" w:color="auto"/>
                                                    <w:right w:val="none" w:sz="0" w:space="0" w:color="auto"/>
                                                  </w:divBdr>
                                                  <w:divsChild>
                                                    <w:div w:id="1634795827">
                                                      <w:marLeft w:val="0"/>
                                                      <w:marRight w:val="0"/>
                                                      <w:marTop w:val="0"/>
                                                      <w:marBottom w:val="0"/>
                                                      <w:divBdr>
                                                        <w:top w:val="none" w:sz="0" w:space="0" w:color="auto"/>
                                                        <w:left w:val="none" w:sz="0" w:space="0" w:color="auto"/>
                                                        <w:bottom w:val="none" w:sz="0" w:space="0" w:color="auto"/>
                                                        <w:right w:val="none" w:sz="0" w:space="0" w:color="auto"/>
                                                      </w:divBdr>
                                                      <w:divsChild>
                                                        <w:div w:id="1805153678">
                                                          <w:marLeft w:val="0"/>
                                                          <w:marRight w:val="0"/>
                                                          <w:marTop w:val="0"/>
                                                          <w:marBottom w:val="0"/>
                                                          <w:divBdr>
                                                            <w:top w:val="none" w:sz="0" w:space="0" w:color="auto"/>
                                                            <w:left w:val="none" w:sz="0" w:space="0" w:color="auto"/>
                                                            <w:bottom w:val="none" w:sz="0" w:space="0" w:color="auto"/>
                                                            <w:right w:val="none" w:sz="0" w:space="0" w:color="auto"/>
                                                          </w:divBdr>
                                                          <w:divsChild>
                                                            <w:div w:id="1720663387">
                                                              <w:marLeft w:val="0"/>
                                                              <w:marRight w:val="0"/>
                                                              <w:marTop w:val="0"/>
                                                              <w:marBottom w:val="390"/>
                                                              <w:divBdr>
                                                                <w:top w:val="none" w:sz="0" w:space="0" w:color="auto"/>
                                                                <w:left w:val="none" w:sz="0" w:space="0" w:color="auto"/>
                                                                <w:bottom w:val="none" w:sz="0" w:space="0" w:color="auto"/>
                                                                <w:right w:val="none" w:sz="0" w:space="0" w:color="auto"/>
                                                              </w:divBdr>
                                                              <w:divsChild>
                                                                <w:div w:id="747312078">
                                                                  <w:marLeft w:val="0"/>
                                                                  <w:marRight w:val="0"/>
                                                                  <w:marTop w:val="0"/>
                                                                  <w:marBottom w:val="0"/>
                                                                  <w:divBdr>
                                                                    <w:top w:val="none" w:sz="0" w:space="0" w:color="auto"/>
                                                                    <w:left w:val="none" w:sz="0" w:space="0" w:color="auto"/>
                                                                    <w:bottom w:val="none" w:sz="0" w:space="0" w:color="auto"/>
                                                                    <w:right w:val="none" w:sz="0" w:space="0" w:color="auto"/>
                                                                  </w:divBdr>
                                                                  <w:divsChild>
                                                                    <w:div w:id="1351689163">
                                                                      <w:marLeft w:val="0"/>
                                                                      <w:marRight w:val="0"/>
                                                                      <w:marTop w:val="0"/>
                                                                      <w:marBottom w:val="0"/>
                                                                      <w:divBdr>
                                                                        <w:top w:val="none" w:sz="0" w:space="0" w:color="auto"/>
                                                                        <w:left w:val="none" w:sz="0" w:space="0" w:color="auto"/>
                                                                        <w:bottom w:val="none" w:sz="0" w:space="0" w:color="auto"/>
                                                                        <w:right w:val="none" w:sz="0" w:space="0" w:color="auto"/>
                                                                      </w:divBdr>
                                                                      <w:divsChild>
                                                                        <w:div w:id="283536957">
                                                                          <w:marLeft w:val="0"/>
                                                                          <w:marRight w:val="0"/>
                                                                          <w:marTop w:val="0"/>
                                                                          <w:marBottom w:val="0"/>
                                                                          <w:divBdr>
                                                                            <w:top w:val="none" w:sz="0" w:space="0" w:color="auto"/>
                                                                            <w:left w:val="none" w:sz="0" w:space="0" w:color="auto"/>
                                                                            <w:bottom w:val="none" w:sz="0" w:space="0" w:color="auto"/>
                                                                            <w:right w:val="none" w:sz="0" w:space="0" w:color="auto"/>
                                                                          </w:divBdr>
                                                                          <w:divsChild>
                                                                            <w:div w:id="192307097">
                                                                              <w:marLeft w:val="0"/>
                                                                              <w:marRight w:val="0"/>
                                                                              <w:marTop w:val="0"/>
                                                                              <w:marBottom w:val="0"/>
                                                                              <w:divBdr>
                                                                                <w:top w:val="none" w:sz="0" w:space="0" w:color="auto"/>
                                                                                <w:left w:val="none" w:sz="0" w:space="0" w:color="auto"/>
                                                                                <w:bottom w:val="none" w:sz="0" w:space="0" w:color="auto"/>
                                                                                <w:right w:val="none" w:sz="0" w:space="0" w:color="auto"/>
                                                                              </w:divBdr>
                                                                              <w:divsChild>
                                                                                <w:div w:id="457113687">
                                                                                  <w:marLeft w:val="0"/>
                                                                                  <w:marRight w:val="0"/>
                                                                                  <w:marTop w:val="0"/>
                                                                                  <w:marBottom w:val="0"/>
                                                                                  <w:divBdr>
                                                                                    <w:top w:val="none" w:sz="0" w:space="0" w:color="auto"/>
                                                                                    <w:left w:val="none" w:sz="0" w:space="0" w:color="auto"/>
                                                                                    <w:bottom w:val="none" w:sz="0" w:space="0" w:color="auto"/>
                                                                                    <w:right w:val="none" w:sz="0" w:space="0" w:color="auto"/>
                                                                                  </w:divBdr>
                                                                                  <w:divsChild>
                                                                                    <w:div w:id="1677535749">
                                                                                      <w:marLeft w:val="0"/>
                                                                                      <w:marRight w:val="0"/>
                                                                                      <w:marTop w:val="0"/>
                                                                                      <w:marBottom w:val="0"/>
                                                                                      <w:divBdr>
                                                                                        <w:top w:val="none" w:sz="0" w:space="0" w:color="auto"/>
                                                                                        <w:left w:val="none" w:sz="0" w:space="0" w:color="auto"/>
                                                                                        <w:bottom w:val="none" w:sz="0" w:space="0" w:color="auto"/>
                                                                                        <w:right w:val="none" w:sz="0" w:space="0" w:color="auto"/>
                                                                                      </w:divBdr>
                                                                                      <w:divsChild>
                                                                                        <w:div w:id="1179201285">
                                                                                          <w:marLeft w:val="0"/>
                                                                                          <w:marRight w:val="0"/>
                                                                                          <w:marTop w:val="0"/>
                                                                                          <w:marBottom w:val="0"/>
                                                                                          <w:divBdr>
                                                                                            <w:top w:val="none" w:sz="0" w:space="0" w:color="auto"/>
                                                                                            <w:left w:val="none" w:sz="0" w:space="0" w:color="auto"/>
                                                                                            <w:bottom w:val="none" w:sz="0" w:space="0" w:color="auto"/>
                                                                                            <w:right w:val="none" w:sz="0" w:space="0" w:color="auto"/>
                                                                                          </w:divBdr>
                                                                                          <w:divsChild>
                                                                                            <w:div w:id="9836834">
                                                                                              <w:marLeft w:val="0"/>
                                                                                              <w:marRight w:val="0"/>
                                                                                              <w:marTop w:val="0"/>
                                                                                              <w:marBottom w:val="0"/>
                                                                                              <w:divBdr>
                                                                                                <w:top w:val="none" w:sz="0" w:space="0" w:color="auto"/>
                                                                                                <w:left w:val="none" w:sz="0" w:space="0" w:color="auto"/>
                                                                                                <w:bottom w:val="none" w:sz="0" w:space="0" w:color="auto"/>
                                                                                                <w:right w:val="none" w:sz="0" w:space="0" w:color="auto"/>
                                                                                              </w:divBdr>
                                                                                              <w:divsChild>
                                                                                                <w:div w:id="278532728">
                                                                                                  <w:marLeft w:val="0"/>
                                                                                                  <w:marRight w:val="0"/>
                                                                                                  <w:marTop w:val="0"/>
                                                                                                  <w:marBottom w:val="0"/>
                                                                                                  <w:divBdr>
                                                                                                    <w:top w:val="none" w:sz="0" w:space="0" w:color="auto"/>
                                                                                                    <w:left w:val="none" w:sz="0" w:space="0" w:color="auto"/>
                                                                                                    <w:bottom w:val="none" w:sz="0" w:space="0" w:color="auto"/>
                                                                                                    <w:right w:val="none" w:sz="0" w:space="0" w:color="auto"/>
                                                                                                  </w:divBdr>
                                                                                                  <w:divsChild>
                                                                                                    <w:div w:id="1969699074">
                                                                                                      <w:marLeft w:val="0"/>
                                                                                                      <w:marRight w:val="0"/>
                                                                                                      <w:marTop w:val="0"/>
                                                                                                      <w:marBottom w:val="0"/>
                                                                                                      <w:divBdr>
                                                                                                        <w:top w:val="none" w:sz="0" w:space="0" w:color="auto"/>
                                                                                                        <w:left w:val="none" w:sz="0" w:space="0" w:color="auto"/>
                                                                                                        <w:bottom w:val="none" w:sz="0" w:space="0" w:color="auto"/>
                                                                                                        <w:right w:val="none" w:sz="0" w:space="0" w:color="auto"/>
                                                                                                      </w:divBdr>
                                                                                                      <w:divsChild>
                                                                                                        <w:div w:id="357586589">
                                                                                                          <w:marLeft w:val="0"/>
                                                                                                          <w:marRight w:val="0"/>
                                                                                                          <w:marTop w:val="0"/>
                                                                                                          <w:marBottom w:val="0"/>
                                                                                                          <w:divBdr>
                                                                                                            <w:top w:val="none" w:sz="0" w:space="0" w:color="auto"/>
                                                                                                            <w:left w:val="none" w:sz="0" w:space="0" w:color="auto"/>
                                                                                                            <w:bottom w:val="none" w:sz="0" w:space="0" w:color="auto"/>
                                                                                                            <w:right w:val="none" w:sz="0" w:space="0" w:color="auto"/>
                                                                                                          </w:divBdr>
                                                                                                          <w:divsChild>
                                                                                                            <w:div w:id="1498770810">
                                                                                                              <w:marLeft w:val="0"/>
                                                                                                              <w:marRight w:val="0"/>
                                                                                                              <w:marTop w:val="0"/>
                                                                                                              <w:marBottom w:val="0"/>
                                                                                                              <w:divBdr>
                                                                                                                <w:top w:val="none" w:sz="0" w:space="0" w:color="auto"/>
                                                                                                                <w:left w:val="none" w:sz="0" w:space="0" w:color="auto"/>
                                                                                                                <w:bottom w:val="none" w:sz="0" w:space="0" w:color="auto"/>
                                                                                                                <w:right w:val="none" w:sz="0" w:space="0" w:color="auto"/>
                                                                                                              </w:divBdr>
                                                                                                              <w:divsChild>
                                                                                                                <w:div w:id="136845326">
                                                                                                                  <w:marLeft w:val="300"/>
                                                                                                                  <w:marRight w:val="0"/>
                                                                                                                  <w:marTop w:val="0"/>
                                                                                                                  <w:marBottom w:val="0"/>
                                                                                                                  <w:divBdr>
                                                                                                                    <w:top w:val="none" w:sz="0" w:space="0" w:color="auto"/>
                                                                                                                    <w:left w:val="none" w:sz="0" w:space="0" w:color="auto"/>
                                                                                                                    <w:bottom w:val="none" w:sz="0" w:space="0" w:color="auto"/>
                                                                                                                    <w:right w:val="none" w:sz="0" w:space="0" w:color="auto"/>
                                                                                                                  </w:divBdr>
                                                                                                                  <w:divsChild>
                                                                                                                    <w:div w:id="673069514">
                                                                                                                      <w:marLeft w:val="0"/>
                                                                                                                      <w:marRight w:val="0"/>
                                                                                                                      <w:marTop w:val="0"/>
                                                                                                                      <w:marBottom w:val="0"/>
                                                                                                                      <w:divBdr>
                                                                                                                        <w:top w:val="none" w:sz="0" w:space="0" w:color="auto"/>
                                                                                                                        <w:left w:val="none" w:sz="0" w:space="0" w:color="auto"/>
                                                                                                                        <w:bottom w:val="none" w:sz="0" w:space="0" w:color="auto"/>
                                                                                                                        <w:right w:val="none" w:sz="0" w:space="0" w:color="auto"/>
                                                                                                                      </w:divBdr>
                                                                                                                      <w:divsChild>
                                                                                                                        <w:div w:id="4373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42770707">
      <w:bodyDiv w:val="1"/>
      <w:marLeft w:val="0"/>
      <w:marRight w:val="0"/>
      <w:marTop w:val="0"/>
      <w:marBottom w:val="0"/>
      <w:divBdr>
        <w:top w:val="none" w:sz="0" w:space="0" w:color="auto"/>
        <w:left w:val="none" w:sz="0" w:space="0" w:color="auto"/>
        <w:bottom w:val="none" w:sz="0" w:space="0" w:color="auto"/>
        <w:right w:val="none" w:sz="0" w:space="0" w:color="auto"/>
      </w:divBdr>
    </w:div>
    <w:div w:id="1851489102">
      <w:bodyDiv w:val="1"/>
      <w:marLeft w:val="0"/>
      <w:marRight w:val="0"/>
      <w:marTop w:val="0"/>
      <w:marBottom w:val="0"/>
      <w:divBdr>
        <w:top w:val="none" w:sz="0" w:space="0" w:color="auto"/>
        <w:left w:val="none" w:sz="0" w:space="0" w:color="auto"/>
        <w:bottom w:val="none" w:sz="0" w:space="0" w:color="auto"/>
        <w:right w:val="none" w:sz="0" w:space="0" w:color="auto"/>
      </w:divBdr>
    </w:div>
    <w:div w:id="1868179995">
      <w:bodyDiv w:val="1"/>
      <w:marLeft w:val="0"/>
      <w:marRight w:val="0"/>
      <w:marTop w:val="0"/>
      <w:marBottom w:val="0"/>
      <w:divBdr>
        <w:top w:val="none" w:sz="0" w:space="0" w:color="auto"/>
        <w:left w:val="none" w:sz="0" w:space="0" w:color="auto"/>
        <w:bottom w:val="none" w:sz="0" w:space="0" w:color="auto"/>
        <w:right w:val="none" w:sz="0" w:space="0" w:color="auto"/>
      </w:divBdr>
    </w:div>
    <w:div w:id="1889757981">
      <w:bodyDiv w:val="1"/>
      <w:marLeft w:val="0"/>
      <w:marRight w:val="0"/>
      <w:marTop w:val="0"/>
      <w:marBottom w:val="0"/>
      <w:divBdr>
        <w:top w:val="none" w:sz="0" w:space="0" w:color="auto"/>
        <w:left w:val="none" w:sz="0" w:space="0" w:color="auto"/>
        <w:bottom w:val="none" w:sz="0" w:space="0" w:color="auto"/>
        <w:right w:val="none" w:sz="0" w:space="0" w:color="auto"/>
      </w:divBdr>
    </w:div>
    <w:div w:id="1899902318">
      <w:bodyDiv w:val="1"/>
      <w:marLeft w:val="0"/>
      <w:marRight w:val="0"/>
      <w:marTop w:val="0"/>
      <w:marBottom w:val="0"/>
      <w:divBdr>
        <w:top w:val="none" w:sz="0" w:space="0" w:color="auto"/>
        <w:left w:val="none" w:sz="0" w:space="0" w:color="auto"/>
        <w:bottom w:val="none" w:sz="0" w:space="0" w:color="auto"/>
        <w:right w:val="none" w:sz="0" w:space="0" w:color="auto"/>
      </w:divBdr>
    </w:div>
    <w:div w:id="1903518725">
      <w:bodyDiv w:val="1"/>
      <w:marLeft w:val="0"/>
      <w:marRight w:val="0"/>
      <w:marTop w:val="0"/>
      <w:marBottom w:val="0"/>
      <w:divBdr>
        <w:top w:val="none" w:sz="0" w:space="0" w:color="auto"/>
        <w:left w:val="none" w:sz="0" w:space="0" w:color="auto"/>
        <w:bottom w:val="none" w:sz="0" w:space="0" w:color="auto"/>
        <w:right w:val="none" w:sz="0" w:space="0" w:color="auto"/>
      </w:divBdr>
    </w:div>
    <w:div w:id="1917089327">
      <w:bodyDiv w:val="1"/>
      <w:marLeft w:val="0"/>
      <w:marRight w:val="0"/>
      <w:marTop w:val="0"/>
      <w:marBottom w:val="0"/>
      <w:divBdr>
        <w:top w:val="none" w:sz="0" w:space="0" w:color="auto"/>
        <w:left w:val="none" w:sz="0" w:space="0" w:color="auto"/>
        <w:bottom w:val="none" w:sz="0" w:space="0" w:color="auto"/>
        <w:right w:val="none" w:sz="0" w:space="0" w:color="auto"/>
      </w:divBdr>
    </w:div>
    <w:div w:id="1943491999">
      <w:bodyDiv w:val="1"/>
      <w:marLeft w:val="0"/>
      <w:marRight w:val="0"/>
      <w:marTop w:val="0"/>
      <w:marBottom w:val="0"/>
      <w:divBdr>
        <w:top w:val="none" w:sz="0" w:space="0" w:color="auto"/>
        <w:left w:val="none" w:sz="0" w:space="0" w:color="auto"/>
        <w:bottom w:val="none" w:sz="0" w:space="0" w:color="auto"/>
        <w:right w:val="none" w:sz="0" w:space="0" w:color="auto"/>
      </w:divBdr>
    </w:div>
    <w:div w:id="1957716798">
      <w:bodyDiv w:val="1"/>
      <w:marLeft w:val="0"/>
      <w:marRight w:val="0"/>
      <w:marTop w:val="0"/>
      <w:marBottom w:val="0"/>
      <w:divBdr>
        <w:top w:val="none" w:sz="0" w:space="0" w:color="auto"/>
        <w:left w:val="none" w:sz="0" w:space="0" w:color="auto"/>
        <w:bottom w:val="none" w:sz="0" w:space="0" w:color="auto"/>
        <w:right w:val="none" w:sz="0" w:space="0" w:color="auto"/>
      </w:divBdr>
    </w:div>
    <w:div w:id="1986157064">
      <w:bodyDiv w:val="1"/>
      <w:marLeft w:val="0"/>
      <w:marRight w:val="0"/>
      <w:marTop w:val="0"/>
      <w:marBottom w:val="0"/>
      <w:divBdr>
        <w:top w:val="none" w:sz="0" w:space="0" w:color="auto"/>
        <w:left w:val="none" w:sz="0" w:space="0" w:color="auto"/>
        <w:bottom w:val="none" w:sz="0" w:space="0" w:color="auto"/>
        <w:right w:val="none" w:sz="0" w:space="0" w:color="auto"/>
      </w:divBdr>
    </w:div>
    <w:div w:id="1999460511">
      <w:bodyDiv w:val="1"/>
      <w:marLeft w:val="0"/>
      <w:marRight w:val="0"/>
      <w:marTop w:val="0"/>
      <w:marBottom w:val="0"/>
      <w:divBdr>
        <w:top w:val="none" w:sz="0" w:space="0" w:color="auto"/>
        <w:left w:val="none" w:sz="0" w:space="0" w:color="auto"/>
        <w:bottom w:val="none" w:sz="0" w:space="0" w:color="auto"/>
        <w:right w:val="none" w:sz="0" w:space="0" w:color="auto"/>
      </w:divBdr>
    </w:div>
    <w:div w:id="2083405792">
      <w:bodyDiv w:val="1"/>
      <w:marLeft w:val="0"/>
      <w:marRight w:val="0"/>
      <w:marTop w:val="0"/>
      <w:marBottom w:val="0"/>
      <w:divBdr>
        <w:top w:val="none" w:sz="0" w:space="0" w:color="auto"/>
        <w:left w:val="none" w:sz="0" w:space="0" w:color="auto"/>
        <w:bottom w:val="none" w:sz="0" w:space="0" w:color="auto"/>
        <w:right w:val="none" w:sz="0" w:space="0" w:color="auto"/>
      </w:divBdr>
    </w:div>
    <w:div w:id="2090805889">
      <w:bodyDiv w:val="1"/>
      <w:marLeft w:val="0"/>
      <w:marRight w:val="0"/>
      <w:marTop w:val="0"/>
      <w:marBottom w:val="0"/>
      <w:divBdr>
        <w:top w:val="none" w:sz="0" w:space="0" w:color="auto"/>
        <w:left w:val="none" w:sz="0" w:space="0" w:color="auto"/>
        <w:bottom w:val="none" w:sz="0" w:space="0" w:color="auto"/>
        <w:right w:val="none" w:sz="0" w:space="0" w:color="auto"/>
      </w:divBdr>
    </w:div>
    <w:div w:id="2094928598">
      <w:bodyDiv w:val="1"/>
      <w:marLeft w:val="0"/>
      <w:marRight w:val="0"/>
      <w:marTop w:val="0"/>
      <w:marBottom w:val="0"/>
      <w:divBdr>
        <w:top w:val="none" w:sz="0" w:space="0" w:color="auto"/>
        <w:left w:val="none" w:sz="0" w:space="0" w:color="auto"/>
        <w:bottom w:val="none" w:sz="0" w:space="0" w:color="auto"/>
        <w:right w:val="none" w:sz="0" w:space="0" w:color="auto"/>
      </w:divBdr>
    </w:div>
    <w:div w:id="21198284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hrrp.eu/docs/decisions/Decision%20and%20findings%202014-32%20pdf.pdf" TargetMode="External"/><Relationship Id="rId18" Type="http://schemas.openxmlformats.org/officeDocument/2006/relationships/hyperlink" Target="http://www.hrrp.eu/docs/decisions/Admissibility%20decision%202012-14%20pdf.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hrrp.eu/docs/decisions/Decision%20and%20Findings%202014-11%20to%202014-17.pdf" TargetMode="External"/><Relationship Id="rId17" Type="http://schemas.openxmlformats.org/officeDocument/2006/relationships/hyperlink" Target="http://hudoc.echr.coe.int/sites/eng/Pages/search.aspx" TargetMode="External"/><Relationship Id="rId2" Type="http://schemas.openxmlformats.org/officeDocument/2006/relationships/numbering" Target="numbering.xml"/><Relationship Id="rId16" Type="http://schemas.openxmlformats.org/officeDocument/2006/relationships/hyperlink" Target="http://hudoc.echr.coe.int/sites/eng/Pages/search.aspx"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rp.eu/docs/decisions/Decision%20and%20findings%202014-37.pdf" TargetMode="External"/><Relationship Id="rId5" Type="http://schemas.openxmlformats.org/officeDocument/2006/relationships/webSettings" Target="webSettings.xml"/><Relationship Id="rId15" Type="http://schemas.openxmlformats.org/officeDocument/2006/relationships/hyperlink" Target="http://www.hrrp.eu/docs/Case%20law%20Note%20on%20Disappearance.pdf" TargetMode="External"/><Relationship Id="rId10" Type="http://schemas.openxmlformats.org/officeDocument/2006/relationships/hyperlink" Target="http://hrrp.eu/docs/decisions/Decision%20and%20findings%202012-19%20&amp;%202012-20%20pdf.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hrrp.eu/docs/decisions/Decision%20and%20Findings%202012-09;%202012-10;%202012-11;%202012-12%20pdf.pdf" TargetMode="External"/><Relationship Id="rId14" Type="http://schemas.openxmlformats.org/officeDocument/2006/relationships/hyperlink" Target="http://hrrp.eu/docs/decisions/Decision%20and%20Findings%202014-34.pdf"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hrrp.eu/docs/decisions/Inadmissibility%20Decision%202011-23.pdf" TargetMode="External"/><Relationship Id="rId7" Type="http://schemas.openxmlformats.org/officeDocument/2006/relationships/hyperlink" Target="http://www.hrrp.eu/docs/decisions/Admissibility%20decision%202012-14%20pdf.pdf" TargetMode="External"/><Relationship Id="rId2" Type="http://schemas.openxmlformats.org/officeDocument/2006/relationships/hyperlink" Target="http://www.hrrp.eu/docs/decisions/Inadmissibility%20Decision%202012-03.pdf" TargetMode="External"/><Relationship Id="rId1" Type="http://schemas.openxmlformats.org/officeDocument/2006/relationships/hyperlink" Target="http://www.hrrp.eu/docs/decisions/Inadmissibility%20decision%202012-08.pdf" TargetMode="External"/><Relationship Id="rId6" Type="http://schemas.openxmlformats.org/officeDocument/2006/relationships/hyperlink" Target="http://www.hrrp.eu/docs/Case%20law%20note%20on%20DUTY%20TO%20INVESTIGATE.pdf" TargetMode="External"/><Relationship Id="rId5" Type="http://schemas.openxmlformats.org/officeDocument/2006/relationships/hyperlink" Target="http://www.hrrp.eu/docs/Case%20law%20note%20on%20DUTY%20TO%20INVESTIGATE.pdf" TargetMode="External"/><Relationship Id="rId4" Type="http://schemas.openxmlformats.org/officeDocument/2006/relationships/hyperlink" Target="http://www.hrrp.eu/docs/decisions/Decision%20and%20findings%202012-22%20pdf.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32B67-AB0E-114C-9753-8010AC9814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46</Pages>
  <Words>13566</Words>
  <Characters>77331</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Guenael Mettraux</dc:creator>
  <cp:keywords/>
  <dc:description/>
  <cp:lastModifiedBy>Guenael Mettraux</cp:lastModifiedBy>
  <cp:revision>23</cp:revision>
  <cp:lastPrinted>2017-06-07T12:22:00Z</cp:lastPrinted>
  <dcterms:created xsi:type="dcterms:W3CDTF">2018-05-10T06:03:00Z</dcterms:created>
  <dcterms:modified xsi:type="dcterms:W3CDTF">2018-05-10T09:10:00Z</dcterms:modified>
</cp:coreProperties>
</file>